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Donatma iştiraki kazanç payı ödeme talebi</w:t>
      </w:r>
    </w:p>
    <w:p>
      <w:pPr>
        <w:pStyle w:val="Subtitle"/>
      </w:pPr>
      <w:r>
        <w:rPr>
          <w:color w:val="000000"/>
        </w:rPr>
        <w:t>Tamamlanmış takvim yılı hesabı • TTK 1076</w:t>
      </w:r>
    </w:p>
    <w:p>
      <w:r>
        <w:rPr>
          <w:color w:val="000000"/>
        </w:rPr>
        <w:t>[GERÇEK DONATMA İŞTİRAKİ ADI] ADINA</w:t>
        <w:br/>
        <w:t>[GERÇEK TEMSİLCİ / GEMİ MÜDÜRÜ ADI VEYA UNVANI]’NA</w:t>
      </w:r>
    </w:p>
    <w:p>
      <w:r>
        <w:rPr>
          <w:color w:val="000000"/>
        </w:rPr>
        <w:t>TALEP EDEN PAYDAŞ DONATAN: [Gerçek ad / unvan, adres ve yetkili]</w:t>
        <w:br/>
        <w:t>GEMİ / İŞTİRAK: [Gerçek gemi kimliği ve sicil kaydı]</w:t>
        <w:br/>
        <w:t>HESAP DÖNEMİ: [İlgili tamamlanmış takvim yılı]</w:t>
        <w:br/>
        <w:t>KONU: TTK m.1066 ve m.1076 kapsamında belirli yıl hesabından tarafıma düşen kazanç payının kalan tutarının ödenmesi talebidir.</w:t>
      </w:r>
    </w:p>
    <w:p>
      <w:r>
        <w:rPr>
          <w:color w:val="000000"/>
        </w:rPr>
        <w:t>1. [Gerçek iştirak sözleşmesi ve pay kaydı] kapsamında paydaş donatanım. İlgili dönem hesabında tarafıma uygulanan gemi payı [gerçek pay ve dayanak] şeklindedir. Kazanç paylaşımı bakımından gerçek sözleşme düzeni [ilgili hüküm veya kanuni düzenin uygulanması] olarak gösterilmiştir.</w:t>
      </w:r>
    </w:p>
    <w:p>
      <w:r>
        <w:rPr>
          <w:color w:val="000000"/>
        </w:rPr>
        <w:t>2. [İlgili tamamlanmış yıl] için düzenlenen [gerçek tarih ve referans] kazanç hesabındaki toplam kazanç ve tarafıma düşen miktar [gerçek sonuç ve pay hesabı] şeklindedir. İlgili hesap ve dayanak çizelge eklenmiştir.</w:t>
      </w:r>
    </w:p>
    <w:p>
      <w:r>
        <w:rPr>
          <w:color w:val="000000"/>
        </w:rPr>
        <w:t>3. Aynı kazanç payına ilişkin gerçek önceki dağıtımlar ve ilgili kapanmalar [tarih, tutar ve dayanak] olarak gösterilmiştir. Bunlar dikkate alındığında tarafıma ödenmemiş kalan kazanç payı [gerçek bakiye ve para birimi] şeklindedir. Ayrı gider avansı alacağı bu toplama eklenmemiştir.</w:t>
      </w:r>
    </w:p>
    <w:p>
      <w:r>
        <w:rPr>
          <w:color w:val="000000"/>
        </w:rPr>
        <w:t>4. TTK m.1076'nın kanuni düzeni kazanç ve zararın gemideki paylara göre dağıtılmasını, hesabın ve kazanç dağıtımının takvim yılı sonunda yapılmasını öngörür. Talebim belirtilen gerçek hesap ve yürürlükteki sözleşme kapsamında kalan kazanç payına ilişkindir.</w:t>
      </w:r>
    </w:p>
    <w:p>
      <w:r>
        <w:rPr>
          <w:color w:val="000000"/>
        </w:rPr>
        <w:t>TALEP: Ekli gerçek yıl hesabı, pay çizelgesi ve önceki dağıtım kayıtları uyarınca [gerçek kalan kazanç payı] tutarının [hak sahibine ait doğrulanmış ödeme bilgisi] üzerinden ödenmesini; hesap veya kalan miktara ilişkin somut cevabınızın [gerçek iletişim yolu] ile bildirilmesini talep ederim. Hesaplanmamış faiz bu anapara toplamına eklenmemiştir.</w:t>
      </w:r>
    </w:p>
    <w:p>
      <w:r>
        <w:rPr>
          <w:b/>
          <w:color w:val="000000"/>
        </w:rPr>
        <w:t>EKLER:</w:t>
      </w:r>
      <w:r>
        <w:rPr>
          <w:color w:val="000000"/>
        </w:rPr>
        <w:t xml:space="preserve"> [Gerçek sözleşme ve ilgili değişiklikler]; [ilgili gemi pay kaydı]; [tamamlanmış yıl kazanç hesabı]; [başvurana düşen pay ve bakiye çizelgesi]; [gerçek önceki dağıtım ve kapanma belgeleri]; [ilgili gerçek yazışmalar]. Yalnız mevcut belgeler eklenir.</w:t>
      </w:r>
    </w:p>
    <w:p>
      <w:r>
        <w:rPr>
          <w:color w:val="000000"/>
        </w:rPr>
        <w:t>Tarih: [Gerçek gönderim tarihi]</w:t>
        <w:br/>
        <w:t>Talep Eden Paydaş Donatan / Yetkili</w:t>
        <w:br/>
        <w:t>[Adı ve soyadı]</w:t>
        <w:br/>
        <w:t>İmza: [Gerçek imza]</w:t>
      </w:r>
    </w:p>
    <w:p>
      <w:r>
        <w:rPr>
          <w:color w:val="000000"/>
        </w:rPr>
        <w:br w:type="page"/>
      </w:r>
    </w:p>
    <w:p>
      <w:pPr>
        <w:pStyle w:val="Heading1"/>
      </w:pPr>
      <w:r>
        <w:rPr>
          <w:color w:val="000000"/>
        </w:rPr>
        <w:t>Dosyaya uyarlama rehberi</w:t>
      </w:r>
    </w:p>
    <w:p>
      <w:r>
        <w:rPr>
          <w:color w:val="000000"/>
        </w:rPr>
        <w:t>Bu sayfa çalışma notudur. Muhataba sunulacak dilekçeden çıkarın. Köşeli parantezli alanları gerçek belge ve kayıtlarla doldurun; gerçekleşmemiş bir olayı veya teslimi yazmayın.</w:t>
      </w:r>
    </w:p>
    <w:p>
      <w:pPr>
        <w:pStyle w:val="Heading2"/>
      </w:pPr>
      <w:r>
        <w:rPr>
          <w:color w:val="000000"/>
        </w:rPr>
        <w:t>İlişki</w:t>
      </w:r>
    </w:p>
    <w:p>
      <w:r>
        <w:rPr>
          <w:color w:val="000000"/>
        </w:rPr>
        <w:t>Gerçek donatma iştiraki, sözleşme ve gemi payı belirlenir. Şirket sermaye payı aynı sıfat değildir.</w:t>
      </w:r>
    </w:p>
    <w:p>
      <w:pPr>
        <w:pStyle w:val="Heading2"/>
      </w:pPr>
      <w:r>
        <w:rPr>
          <w:color w:val="000000"/>
        </w:rPr>
        <w:t>Dönem</w:t>
      </w:r>
    </w:p>
    <w:p>
      <w:r>
        <w:rPr>
          <w:color w:val="000000"/>
        </w:rPr>
        <w:t>Tamamlanmış takvim yılı ve gerçek kazanç hesabı kullanılır. Devam eden yılın tahmini kazancı yazılmaz.</w:t>
      </w:r>
    </w:p>
    <w:p>
      <w:pPr>
        <w:pStyle w:val="Heading2"/>
      </w:pPr>
      <w:r>
        <w:rPr>
          <w:color w:val="000000"/>
        </w:rPr>
        <w:t>Kazanç</w:t>
      </w:r>
    </w:p>
    <w:p>
      <w:r>
        <w:rPr>
          <w:color w:val="000000"/>
        </w:rPr>
        <w:t>Banka bakiyesi ve brüt tahsilat tek başına kazanç değildir. Gerçek hesap sonucu kaynaklarıyla gösterilir.</w:t>
      </w:r>
    </w:p>
    <w:p>
      <w:pPr>
        <w:pStyle w:val="Heading2"/>
      </w:pPr>
      <w:r>
        <w:rPr>
          <w:color w:val="000000"/>
        </w:rPr>
        <w:t>Pay ve devir</w:t>
      </w:r>
    </w:p>
    <w:p>
      <w:r>
        <w:rPr>
          <w:color w:val="000000"/>
        </w:rPr>
        <w:t>Doğru kişi ve döneme uygulanan pay açıklanır. Yıl içinde gerçek devir varsa sözleşme ve dönem kayıtları ayrıca incelenir.</w:t>
      </w:r>
    </w:p>
    <w:p>
      <w:pPr>
        <w:pStyle w:val="Heading2"/>
      </w:pPr>
      <w:r>
        <w:rPr>
          <w:color w:val="000000"/>
        </w:rPr>
        <w:t>Ödeme</w:t>
      </w:r>
    </w:p>
    <w:p>
      <w:r>
        <w:rPr>
          <w:color w:val="000000"/>
        </w:rPr>
        <w:t>Önceki gerçek dağıtımlar ve ilgili kapanmalar düşülür. Farklı yıl ödemesi karıştırılmaz.</w:t>
      </w:r>
    </w:p>
    <w:p>
      <w:pPr>
        <w:pStyle w:val="Heading2"/>
      </w:pPr>
      <w:r>
        <w:rPr>
          <w:color w:val="000000"/>
        </w:rPr>
        <w:t>Ayrı talepler</w:t>
      </w:r>
    </w:p>
    <w:p>
      <w:r>
        <w:rPr>
          <w:color w:val="000000"/>
        </w:rPr>
        <w:t>Gider avansı kazanç alacağına eklenmez. Bu örnek anaparadır; avans faiz başlangıcı otomatik taşınmaz.</w:t>
      </w:r>
    </w:p>
    <w:p>
      <w:pPr>
        <w:pStyle w:val="Heading2"/>
      </w:pPr>
      <w:r>
        <w:rPr>
          <w:color w:val="000000"/>
        </w:rPr>
        <w:t>Tarih ve imza</w:t>
      </w:r>
    </w:p>
    <w:p>
      <w:r>
        <w:rPr>
          <w:color w:val="000000"/>
        </w:rPr>
        <w:t>Gerçek gönderim günü ve yetkili kişinin gerçek imzası kullanılır. Güvenli elektronik imza fiilen uygulanmadan e-imzalıdır yazılmaz. Hazırlık rehberi sunulan nüshadan çıkarılır.</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Örnek dilekçe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r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rPr>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rPr>
      <w:color w:val="000000"/>
    </w:rPr>
  </w:style>
  <w:style w:type="paragraph" w:styleId="BodyText">
    <w:name w:val="Body Text"/>
    <w:basedOn w:val="Normal"/>
    <w:link w:val="BodyTextChar"/>
    <w:uiPriority w:val="99"/>
    <w:unhideWhenUsed/>
    <w:rsid w:val="00AA1D8D"/>
    <w:pPr>
      <w:spacing w:after="120"/>
    </w:pPr>
    <w:rPr>
      <w:color w:val="000000"/>
    </w:r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rPr>
      <w:color w:val="000000"/>
    </w:r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color w:val="000000"/>
      <w:sz w:val="16"/>
      <w:szCs w:val="16"/>
    </w:rPr>
  </w:style>
  <w:style w:type="character" w:customStyle="1" w:styleId="BodyText3Char">
    <w:name w:val="Body Text 3 Char"/>
    <w:basedOn w:val="DefaultParagraphFont"/>
    <w:link w:val="BodyText3"/>
    <w:uiPriority w:val="99"/>
    <w:rsid w:val="00AA1D8D"/>
    <w:rPr>
      <w:color w:val="000000"/>
      <w:sz w:val="16"/>
      <w:szCs w:val="16"/>
    </w:rPr>
  </w:style>
  <w:style w:type="paragraph" w:styleId="List">
    <w:name w:val="List"/>
    <w:basedOn w:val="Normal"/>
    <w:uiPriority w:val="99"/>
    <w:unhideWhenUsed/>
    <w:rsid w:val="00AA1D8D"/>
    <w:pPr>
      <w:ind w:left="360" w:hanging="360"/>
      <w:contextualSpacing/>
    </w:pPr>
    <w:rPr>
      <w:color w:val="000000"/>
    </w:rPr>
  </w:style>
  <w:style w:type="paragraph" w:styleId="List2">
    <w:name w:val="List 2"/>
    <w:basedOn w:val="Normal"/>
    <w:uiPriority w:val="99"/>
    <w:unhideWhenUsed/>
    <w:rsid w:val="00326F90"/>
    <w:pPr>
      <w:ind w:left="720" w:hanging="360"/>
      <w:contextualSpacing/>
    </w:pPr>
    <w:rPr>
      <w:color w:val="000000"/>
    </w:rPr>
  </w:style>
  <w:style w:type="paragraph" w:styleId="List3">
    <w:name w:val="List 3"/>
    <w:basedOn w:val="Normal"/>
    <w:uiPriority w:val="99"/>
    <w:unhideWhenUsed/>
    <w:rsid w:val="00326F90"/>
    <w:pPr>
      <w:ind w:left="1080" w:hanging="360"/>
      <w:contextualSpacing/>
    </w:pPr>
    <w:rPr>
      <w:color w:val="000000"/>
    </w:rPr>
  </w:style>
  <w:style w:type="paragraph" w:styleId="ListBullet">
    <w:name w:val="List Bullet"/>
    <w:basedOn w:val="Normal"/>
    <w:uiPriority w:val="99"/>
    <w:unhideWhenUsed/>
    <w:rsid w:val="00326F90"/>
    <w:pPr>
      <w:numPr>
        <w:numId w:val="1"/>
      </w:numPr>
      <w:contextualSpacing/>
    </w:pPr>
    <w:rPr>
      <w:color w:val="000000"/>
    </w:rPr>
  </w:style>
  <w:style w:type="paragraph" w:styleId="ListBullet2">
    <w:name w:val="List Bullet 2"/>
    <w:basedOn w:val="Normal"/>
    <w:uiPriority w:val="99"/>
    <w:unhideWhenUsed/>
    <w:rsid w:val="00326F90"/>
    <w:pPr>
      <w:numPr>
        <w:numId w:val="2"/>
      </w:numPr>
      <w:contextualSpacing/>
    </w:pPr>
    <w:rPr>
      <w:color w:val="000000"/>
    </w:rPr>
  </w:style>
  <w:style w:type="paragraph" w:styleId="ListBullet3">
    <w:name w:val="List Bullet 3"/>
    <w:basedOn w:val="Normal"/>
    <w:uiPriority w:val="99"/>
    <w:unhideWhenUsed/>
    <w:rsid w:val="00326F90"/>
    <w:pPr>
      <w:numPr>
        <w:numId w:val="3"/>
      </w:numPr>
      <w:contextualSpacing/>
    </w:pPr>
    <w:rPr>
      <w:color w:val="000000"/>
    </w:rPr>
  </w:style>
  <w:style w:type="paragraph" w:styleId="ListNumber">
    <w:name w:val="List Number"/>
    <w:basedOn w:val="Normal"/>
    <w:uiPriority w:val="99"/>
    <w:unhideWhenUsed/>
    <w:rsid w:val="00326F90"/>
    <w:pPr>
      <w:numPr>
        <w:numId w:val="5"/>
      </w:numPr>
      <w:contextualSpacing/>
    </w:pPr>
    <w:rPr>
      <w:color w:val="000000"/>
    </w:rPr>
  </w:style>
  <w:style w:type="paragraph" w:styleId="ListNumber2">
    <w:name w:val="List Number 2"/>
    <w:basedOn w:val="Normal"/>
    <w:uiPriority w:val="99"/>
    <w:unhideWhenUsed/>
    <w:rsid w:val="0029639D"/>
    <w:pPr>
      <w:numPr>
        <w:numId w:val="6"/>
      </w:numPr>
      <w:contextualSpacing/>
    </w:pPr>
    <w:rPr>
      <w:color w:val="000000"/>
    </w:rPr>
  </w:style>
  <w:style w:type="paragraph" w:styleId="ListNumber3">
    <w:name w:val="List Number 3"/>
    <w:basedOn w:val="Normal"/>
    <w:uiPriority w:val="99"/>
    <w:unhideWhenUsed/>
    <w:rsid w:val="0029639D"/>
    <w:pPr>
      <w:numPr>
        <w:numId w:val="7"/>
      </w:numPr>
      <w:contextualSpacing/>
    </w:pPr>
    <w:rPr>
      <w:color w:val="000000"/>
    </w:rPr>
  </w:style>
  <w:style w:type="paragraph" w:styleId="ListContinue">
    <w:name w:val="List Continue"/>
    <w:basedOn w:val="Normal"/>
    <w:uiPriority w:val="99"/>
    <w:unhideWhenUsed/>
    <w:rsid w:val="0029639D"/>
    <w:pPr>
      <w:spacing w:after="120"/>
      <w:ind w:left="360"/>
      <w:contextualSpacing/>
    </w:pPr>
    <w:rPr>
      <w:color w:val="000000"/>
    </w:rPr>
  </w:style>
  <w:style w:type="paragraph" w:styleId="ListContinue2">
    <w:name w:val="List Continue 2"/>
    <w:basedOn w:val="Normal"/>
    <w:uiPriority w:val="99"/>
    <w:unhideWhenUsed/>
    <w:rsid w:val="0029639D"/>
    <w:pPr>
      <w:spacing w:after="120"/>
      <w:ind w:left="720"/>
      <w:contextualSpacing/>
    </w:pPr>
    <w:rPr>
      <w:color w:val="000000"/>
    </w:rPr>
  </w:style>
  <w:style w:type="paragraph" w:styleId="ListContinue3">
    <w:name w:val="List Continue 3"/>
    <w:basedOn w:val="Normal"/>
    <w:uiPriority w:val="99"/>
    <w:unhideWhenUsed/>
    <w:rsid w:val="0029639D"/>
    <w:pPr>
      <w:spacing w:after="120"/>
      <w:ind w:left="1080"/>
      <w:contextualSpacing/>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color w:val="000000"/>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color w:val="000000"/>
      <w:spacing w:val="5"/>
    </w:rPr>
  </w:style>
  <w:style w:type="paragraph" w:styleId="TOCHeading">
    <w:name w:val="TOC Heading"/>
    <w:basedOn w:val="Heading1"/>
    <w:next w:val="Normal"/>
    <w:uiPriority w:val="39"/>
    <w:semiHidden/>
    <w:unhideWhenUsed/>
    <w:qFormat/>
    <w:rsid w:val="00FC693F"/>
    <w:pPr>
      <w:outlineLvl w:val="9"/>
    </w:pPr>
    <w:rPr>
      <w:color w:val="000000"/>
    </w:rPr>
  </w:style>
  <w:style w:type="table" w:styleId="TableGrid">
    <w:name w:val="Table Grid"/>
    <w:basedOn w:val="TableNormal"/>
    <w:uiPriority w:val="59"/>
    <w:rsid w:val="00FC693F"/>
    <w:pPr>
      <w:spacing w:after="0" w:line="240" w:lineRule="auto"/>
    </w:pPr>
    <w:rPr>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