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Tasfiye satış şekli değişikliğine itiraz</w:t>
      </w:r>
    </w:p>
    <w:p>
      <w:pPr>
        <w:pStyle w:val="Subtitle"/>
      </w:pPr>
      <w:r>
        <w:rPr>
          <w:color w:val="000000"/>
        </w:rPr>
        <w:t>Donatma iştiraki • TTK 1086</w:t>
      </w:r>
    </w:p>
    <w:p>
      <w:r>
        <w:rPr>
          <w:color w:val="000000"/>
        </w:rPr>
        <w:t>[DEĞİŞİKLİĞİ İLERİ SÜREN GERÇEK PAYDAŞ DONATANLAR]’A</w:t>
        <w:br/>
        <w:t>[GERÇEK TASFİYE MEMURU / SATIŞ DOSYASINI YÜRÜTEN YETKİLİ]’NE</w:t>
      </w:r>
    </w:p>
    <w:p>
      <w:r>
        <w:rPr>
          <w:color w:val="000000"/>
        </w:rPr>
        <w:t>İTİRAZ EDEN PAYDAŞ DONATAN: [Gerçek ad / unvan ve adres]</w:t>
        <w:br/>
        <w:t>GEMİ / İŞTİRAK: [Gerçek kimlik ve sicil bilgisi]</w:t>
        <w:br/>
        <w:t>KONU: TTK m.1066 ve 1086 kapsamında belirli satış şekli ve şartı değişikliğine onay vermediğimin bildirilmesi ve itirazımdır.</w:t>
      </w:r>
    </w:p>
    <w:p>
      <w:r>
        <w:rPr>
          <w:color w:val="000000"/>
        </w:rPr>
        <w:t>1. [Gerçek pay ve sözleşme kaydı] kapsamında paydaş donatanım. Tasfiyenin mevcut dayanağı [gerçek fesih / devir kararı ve tarih] şeklindedir. Uygulanan satış düzeni [gerçek sözleşme, önceki karar veya kanuni düzen] olarak belirlenmiştir.</w:t>
      </w:r>
    </w:p>
    <w:p>
      <w:r>
        <w:rPr>
          <w:color w:val="000000"/>
        </w:rPr>
        <w:t>2. [Gerçek tarih ve sürüm] taslağında / kararında [belirli mevcut hüküm] yerine [belirli yeni hüküm] ileri sürülmüştür. Tam metin ve karşılaştırma ektedir. Bu belirli değişikliğe onay vermedim. Önceki irade kayıtlarımın gerçek kapsamı [mevcut belgeler] ile gösterilmiştir.</w:t>
      </w:r>
    </w:p>
    <w:p>
      <w:r>
        <w:rPr>
          <w:color w:val="000000"/>
        </w:rPr>
        <w:t>3. TTK m.1086 birinci fıkra satış şekli ve şartlarının değiştirilmesini paydaşların oybirliğine bağlar. Gerçek sözleşme m.1066 kapsamında incelenmiştir. Fesih çoğunluğu, itiraz ettiğim yeni satış değişikliğine ilişkin onayım yerine gösterilmemelidir.</w:t>
      </w:r>
    </w:p>
    <w:p>
      <w:r>
        <w:rPr>
          <w:color w:val="000000"/>
        </w:rPr>
        <w:t>TALEP: İtirazımın satış dosyasına kaydedilmesini; bu belirli değişikliği oybirliğiyle kabul etmişim gibi işlem kaydı tutulmamasını ve mevcut kanuni / sözleşmesel satış düzeninin gözetilmesini talep ederim. Satış şekli ve şartlarında uzlaşma yokluğuna ilişkin TTK m.1086 ikinci fıkra yolu ayrıdır. Bu yazı yargısal tedbir veya gerçekleşmiş satışın iptali kararı değildir.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[Güncel pay ve sözleşme]; [gerçek tasfiye dayanağı]; [mevcut satış düzeni]; [itiraz konusu tam taslak / karar]; [gerçek irade kayıtları ve karşılaştırma]. Yalnız mevcut belgeler sunulur.</w:t>
      </w:r>
    </w:p>
    <w:p>
      <w:r>
        <w:rPr>
          <w:color w:val="000000"/>
        </w:rPr>
        <w:t>Tarih: [Gerçek gönderim tarihi]</w:t>
        <w:br/>
        <w:t>İtiraz Eden Paydaş Donatan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İlişki</w:t>
      </w:r>
    </w:p>
    <w:p>
      <w:r>
        <w:rPr>
          <w:color w:val="000000"/>
        </w:rPr>
        <w:t>Gerçek donatma iştiraki ve güncel paydaşlığı belirleyin; tek malik şirket gemisini bu sıfatla yazmayın.</w:t>
      </w:r>
    </w:p>
    <w:p>
      <w:pPr>
        <w:pStyle w:val="Heading2"/>
      </w:pPr>
      <w:r>
        <w:rPr>
          <w:color w:val="000000"/>
        </w:rPr>
        <w:t>Mevcut düzen</w:t>
      </w:r>
    </w:p>
    <w:p>
      <w:r>
        <w:rPr>
          <w:color w:val="000000"/>
        </w:rPr>
        <w:t>TTK 1066 kapsamında gerçek sözleşme ve önceki satış kararlarını okuyun. Geçerli mevcut onayı gizlemeyin.</w:t>
      </w:r>
    </w:p>
    <w:p>
      <w:pPr>
        <w:pStyle w:val="Heading2"/>
      </w:pPr>
      <w:r>
        <w:rPr>
          <w:color w:val="000000"/>
        </w:rPr>
        <w:t>Değişiklik</w:t>
      </w:r>
    </w:p>
    <w:p>
      <w:r>
        <w:rPr>
          <w:color w:val="000000"/>
        </w:rPr>
        <w:t>Yeni taslağın gerçek sürümü ile mevcut düzen arasındaki belirli farkı gösterin.</w:t>
      </w:r>
    </w:p>
    <w:p>
      <w:pPr>
        <w:pStyle w:val="Heading2"/>
      </w:pPr>
      <w:r>
        <w:rPr>
          <w:color w:val="000000"/>
        </w:rPr>
        <w:t>İrade</w:t>
      </w:r>
    </w:p>
    <w:p>
      <w:r>
        <w:rPr>
          <w:color w:val="000000"/>
        </w:rPr>
        <w:t>Gerçek onay yokluğunu kaydedin. Fesih çoğunluğunu yeni satış değişikliği oybirliği yerine koymayın.</w:t>
      </w:r>
    </w:p>
    <w:p>
      <w:pPr>
        <w:pStyle w:val="Heading2"/>
      </w:pPr>
      <w:r>
        <w:rPr>
          <w:color w:val="000000"/>
        </w:rPr>
        <w:t>Yer ve zaman</w:t>
      </w:r>
    </w:p>
    <w:p>
      <w:r>
        <w:rPr>
          <w:color w:val="000000"/>
        </w:rPr>
        <w:t>Geminin gerçek yeri, navlun taahhüdü ve varsa kanunda aranan mahkeme tespitini ayrı inceleyin.</w:t>
      </w:r>
    </w:p>
    <w:p>
      <w:pPr>
        <w:pStyle w:val="Heading2"/>
      </w:pPr>
      <w:r>
        <w:rPr>
          <w:color w:val="000000"/>
        </w:rPr>
        <w:t>Aşama</w:t>
      </w:r>
    </w:p>
    <w:p>
      <w:r>
        <w:rPr>
          <w:color w:val="000000"/>
        </w:rPr>
        <w:t>Bu iç itiraz atama veya tedbir kararı değildir. Gerçek tasfiye görevlisi ve görev kapsamını kullanın.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