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Normal kullanım aşınması bedeline itiraz</w:t>
      </w:r>
    </w:p>
    <w:p>
      <w:pPr>
        <w:pStyle w:val="Subtitle"/>
      </w:pPr>
      <w:r>
        <w:rPr>
          <w:color w:val="000000"/>
        </w:rPr>
        <w:t>Gemi iadesinde belirli kalem • TTK 1129/1</w:t>
      </w:r>
    </w:p>
    <w:p>
      <w:r>
        <w:rPr>
          <w:color w:val="000000"/>
        </w:rPr>
        <w:t>[GERÇEK KİRAYA VERENİN ADI / UNVANI]’NA</w:t>
      </w:r>
    </w:p>
    <w:p>
      <w:r>
        <w:rPr>
          <w:color w:val="000000"/>
        </w:rPr>
        <w:t>İTİRAZ EDEN KİRACI: [Gerçek ad / unvan ve adres]</w:t>
        <w:br/>
        <w:t>GEMİ / KİRA SÖZLEŞMESİ: [Gerçek kimlik ve sözleşme]</w:t>
        <w:br/>
        <w:t>KONU: TTK m.1129 birinci fıkra kapsamında belirtilen normal kullanım aşınması bedeline itirazımdır.</w:t>
      </w:r>
    </w:p>
    <w:p>
      <w:r>
        <w:rPr>
          <w:color w:val="000000"/>
        </w:rPr>
        <w:t>1. [Gerçek kira sözleşmesi] kapsamındaki gemi [gerçek teslim ve iade kayıtları] ile teslim alınmış ve geri verilmiştir. [Gerçek tarihli talep] içinde [belirli unsur ve tutar] tarafımdan istenmiştir.</w:t>
      </w:r>
    </w:p>
    <w:p>
      <w:r>
        <w:rPr>
          <w:color w:val="000000"/>
        </w:rPr>
        <w:t>2. İtirazım [belirli kalem] ile sınırlıdır. Bu kalemdeki aşınmanın normal kullanım bağlantısı [gerçek teslim-iade, kullanım ve teknik kayıtlar] ile ek çizelgede açıklanmıştır. Gerçek hasar veya teslim edilmesi gereken başka malzemenin eksikliği bu açıklamanın içine konulmamıştır.</w:t>
      </w:r>
    </w:p>
    <w:p>
      <w:r>
        <w:rPr>
          <w:color w:val="000000"/>
        </w:rPr>
        <w:t>3. TTK m.1129 birinci fıkra normal kullanım tarzı sonucu meydana gelen eksiklik, değişiklik veya aşınmadan kiracının sorumlu olmadığını düzenler. Talep edilen belirli bedel ve dayanakları eklerde gösterilmiştir. Başka kalemlere ilişkin kayıtlar ayrı tutulmuştur.</w:t>
      </w:r>
    </w:p>
    <w:p>
      <w:r>
        <w:rPr>
          <w:color w:val="000000"/>
        </w:rPr>
        <w:t>TALEP: Belirtilen normal kullanım aşınmasına ilişkin bedelin tarafıma yöneltilmemesini ve talep kaydının bu kapsamda düzeltilmesini isterim. Kalemin normal kullanım dışında olduğu yönünde farklı açıklamanız varsa ilgili gerçek teknik ve hesap dayanaklarıyla bildirilmesini talep ederim. Bu yazı bütün iade borçlarının veya başka gerçek taleplerin sona erdiği beyanı değildir.</w:t>
      </w:r>
    </w:p>
    <w:p>
      <w:r>
        <w:rPr>
          <w:b/>
          <w:color w:val="000000"/>
        </w:rPr>
        <w:t>EKLER:</w:t>
      </w:r>
      <w:r>
        <w:rPr>
          <w:color w:val="000000"/>
        </w:rPr>
        <w:t xml:space="preserve"> [Gerçek kira ve gemi kaydı]; [talep edilen bedelin tam belgesi]; [teslim ve iade kayıtları]; [ilgili kullanım/bakım/teknik kayıtlar]; [kalem karşılaştırması]; [imza yetkisi]. Yalnız mevcut belgeler eklenir.</w:t>
      </w:r>
    </w:p>
    <w:p>
      <w:r>
        <w:rPr>
          <w:color w:val="000000"/>
        </w:rPr>
        <w:t>Tarih: [Gerçek gönderim tarihi]</w:t>
        <w:br/>
        <w:t>İtiraz Eden Kiracı / Yetkili</w:t>
        <w:br/>
        <w:t>[Adı ve soyadı]</w:t>
        <w:br/>
        <w:t>İmza: [Gerçek imza]</w:t>
      </w:r>
    </w:p>
    <w:p>
      <w:r>
        <w:rPr>
          <w:color w:val="000000"/>
        </w:rPr>
        <w:br w:type="page"/>
      </w:r>
    </w:p>
    <w:p>
      <w:pPr>
        <w:pStyle w:val="Heading1"/>
      </w:pPr>
      <w:r>
        <w:rPr>
          <w:color w:val="000000"/>
        </w:rPr>
        <w:t>Dosyaya uyarlama rehberi</w:t>
      </w:r>
    </w:p>
    <w:p>
      <w:r>
        <w:rPr>
          <w:color w:val="000000"/>
        </w:rPr>
        <w:t>Bu sayfa çalışma notudur. Muhataba sunulacak dilekçeden çıkarın. Köşeli parantezli alanları gerçek belge ve kayıtlarla doldurun; gerçekleşmemiş bir olayı veya teslimi yazmayın.</w:t>
      </w:r>
    </w:p>
    <w:p>
      <w:pPr>
        <w:pStyle w:val="Heading2"/>
      </w:pPr>
      <w:r>
        <w:rPr>
          <w:color w:val="000000"/>
        </w:rPr>
        <w:t>İlişki</w:t>
      </w:r>
    </w:p>
    <w:p>
      <w:r>
        <w:rPr>
          <w:color w:val="000000"/>
        </w:rPr>
        <w:t>Gerçek gemi kira sözleşmesi, kiracı, kiraya veren ve tamamlanmış iade kaydını gösterin.</w:t>
      </w:r>
    </w:p>
    <w:p>
      <w:pPr>
        <w:pStyle w:val="Heading2"/>
      </w:pPr>
      <w:r>
        <w:rPr>
          <w:color w:val="000000"/>
        </w:rPr>
        <w:t>Kalem</w:t>
      </w:r>
    </w:p>
    <w:p>
      <w:r>
        <w:rPr>
          <w:color w:val="000000"/>
        </w:rPr>
        <w:t>İstenen belirli bedel ve teknik unsuru eşleştirin. Başka bütün kalemlere gerekçesiz itiraz yazmayın.</w:t>
      </w:r>
    </w:p>
    <w:p>
      <w:pPr>
        <w:pStyle w:val="Heading2"/>
      </w:pPr>
      <w:r>
        <w:rPr>
          <w:color w:val="000000"/>
        </w:rPr>
        <w:t>Normal kullanım</w:t>
      </w:r>
    </w:p>
    <w:p>
      <w:r>
        <w:rPr>
          <w:color w:val="000000"/>
        </w:rPr>
        <w:t>Teslim-iade, kullanım ve teknik kayıtlarla bağlantıyı açıklayın. Gerçek hasarı aşınma başlığıyla gizlemeyin.</w:t>
      </w:r>
    </w:p>
    <w:p>
      <w:pPr>
        <w:pStyle w:val="Heading2"/>
      </w:pPr>
      <w:r>
        <w:rPr>
          <w:color w:val="000000"/>
        </w:rPr>
        <w:t>Malzeme</w:t>
      </w:r>
    </w:p>
    <w:p>
      <w:r>
        <w:rPr>
          <w:color w:val="000000"/>
        </w:rPr>
        <w:t>TTK 1125 ikinci fıkra kapsamında nitelik ve nicelik iadesi ayrı incelenir. Başka eksik teçhizatı iade edilmiş gibi yazmayın.</w:t>
      </w:r>
    </w:p>
    <w:p>
      <w:pPr>
        <w:pStyle w:val="Heading2"/>
      </w:pPr>
      <w:r>
        <w:rPr>
          <w:color w:val="000000"/>
        </w:rPr>
        <w:t>Bedel</w:t>
      </w:r>
    </w:p>
    <w:p>
      <w:r>
        <w:rPr>
          <w:color w:val="000000"/>
        </w:rPr>
        <w:t>Teklif, fatura ve ödeme ayrı kayıtlardır. Kanunda olmayan sabit amortisman veya indirim oranı üretmeyin.</w:t>
      </w:r>
    </w:p>
    <w:p>
      <w:pPr>
        <w:pStyle w:val="Heading2"/>
      </w:pPr>
      <w:r>
        <w:rPr>
          <w:color w:val="000000"/>
        </w:rPr>
        <w:t>Sonuç</w:t>
      </w:r>
    </w:p>
    <w:p>
      <w:r>
        <w:rPr>
          <w:color w:val="000000"/>
        </w:rPr>
        <w:t>Bu iç itiraz mahkeme kararı ve başka bütün borçların sona erdiği beyanı değildir. Gerçek cevap ve yeni belgeler ayrı saklanır.</w:t>
      </w:r>
    </w:p>
    <w:p>
      <w:pPr>
        <w:pStyle w:val="Heading2"/>
      </w:pPr>
      <w:r>
        <w:rPr>
          <w:color w:val="000000"/>
        </w:rPr>
        <w:t>Tarih ve imza</w:t>
      </w:r>
    </w:p>
    <w:p>
      <w:r>
        <w:rPr>
          <w:color w:val="000000"/>
        </w:rPr>
        <w:t>Gerçek gönderim günü ve yetkili kişinin gerçek imzası kullanılır. Güvenli elektronik imza fiilen uygulanmadan e-imzalıdır yazılmaz. Hazırlık rehberi sunulan nüshadan çıkarılır.</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