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Ödünç para alma özel yetkisi talebi</w:t>
      </w:r>
    </w:p>
    <w:p>
      <w:pPr>
        <w:pStyle w:val="Subtitle"/>
      </w:pPr>
      <w:r>
        <w:rPr>
          <w:color w:val="000000"/>
        </w:rPr>
        <w:t>Gemi müdürünün iştirak adına belirli işlemi • TTK 1070/4</w:t>
      </w:r>
    </w:p>
    <w:p>
      <w:r>
        <w:rPr>
          <w:color w:val="000000"/>
        </w:rPr>
        <w:t>[GERÇEK PAYDAŞ DONATANLARIN ADI / UNVANI]’NA</w:t>
      </w:r>
    </w:p>
    <w:p>
      <w:r>
        <w:rPr>
          <w:color w:val="000000"/>
        </w:rPr>
        <w:t>TALEP EDEN GEMİ MÜDÜRÜ: [Gerçek ad / unvan, adres ve yetki kaydı]</w:t>
        <w:br/>
        <w:t>GEMİ / İŞTİRAK: [Gerçek kimlik ve sicil bilgisi]</w:t>
        <w:br/>
        <w:t>KONU: TTK m.1070 dördüncü fıkra kapsamında iştirak adına belirtilen ödünç para işlemi için özel yetki verilmesi talebidir.</w:t>
      </w:r>
    </w:p>
    <w:p>
      <w:r>
        <w:rPr>
          <w:color w:val="000000"/>
        </w:rPr>
        <w:t>1. [Gerçek atama ve temsil kaydı] uyarınca gemi müdürüyüm. İştirakin [belirli gerçek finansman konusu] için [gerçek karşı taraf] ile hazırlanan [taslak tarihi ve sürümü] işlem belgesi ekte sunulmuştur.</w:t>
      </w:r>
    </w:p>
    <w:p>
      <w:r>
        <w:rPr>
          <w:color w:val="000000"/>
        </w:rPr>
        <w:t>2. Önerilen ödünç işleminin ana tutarı ve para birimi [gerçek tutar]; tarafı, ödeme planı ve diğer temel koşulları [ekli belirli taslak ve çizelge] kapsamındadır. Talep edilen yetki bu belirli işlemle sınırlıdır.</w:t>
      </w:r>
    </w:p>
    <w:p>
      <w:r>
        <w:rPr>
          <w:color w:val="000000"/>
        </w:rPr>
        <w:t>3. TTK m.1070 dördüncü fıkra uyarınca özel yetki verilmedikçe iştirak adına ödünç para alınamaz. Genel müdürlük görevi veya işletme harcaması kararı özel ödünç yetkisi yerine kullanılmamıştır.</w:t>
      </w:r>
    </w:p>
    <w:p>
      <w:r>
        <w:rPr>
          <w:color w:val="000000"/>
        </w:rPr>
        <w:t>4. Bu istem ayrı kambiyo taahhüdü, gemi veya pay satışı, rehin işlemi ya da bir paydaşın kişisel borcu için yetki içermez. Bunlar gerekiyorsa kendi kapsam ve koşullarıyla ayrıca değerlendirilmelidir.</w:t>
      </w:r>
    </w:p>
    <w:p>
      <w:r>
        <w:rPr>
          <w:color w:val="000000"/>
        </w:rPr>
        <w:t>TALEP: Yürürlükteki sözleşme ve gereken gerçek karar koşulları kapsamında, ekli [belirli taslak] uyarınca iştirak adına [belirli tutar ve para birimi] ödünç para işlemi için özel yetki verilmesinin karara bağlanmasını; yetkili kişi, işlem ve sınırların kararda açık gösterilmesini; gerçek kararın [iletişim yolu] üzerinden bildirilmesini talep ederim.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 atama ve temsil kaydı]; [yürürlükteki iştirak sözleşmesi]; [belirli işlem taslağı]; [finansman konusu ve tutar çizelgesi]; [ilgili gerçek karar veya bütçe belgeleri]. Yalnız mevcut belgeler eklenir.</w:t>
      </w:r>
    </w:p>
    <w:p>
      <w:r>
        <w:rPr>
          <w:color w:val="000000"/>
        </w:rPr>
        <w:t>Tarih: [Gerçek gönderim tarihi]</w:t>
        <w:br/>
        <w:t>Gemi Müdürü / Yetkili</w:t>
        <w:br/>
        <w:t>[Adı ve soyadı]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İlişki</w:t>
      </w:r>
    </w:p>
    <w:p>
      <w:r>
        <w:rPr>
          <w:color w:val="000000"/>
        </w:rPr>
        <w:t>Gerçek donatma iştiraki, yürürlükteki sözleşme ve müdürün devam eden sıfatı belirlenir.</w:t>
      </w:r>
    </w:p>
    <w:p>
      <w:pPr>
        <w:pStyle w:val="Heading2"/>
      </w:pPr>
      <w:r>
        <w:rPr>
          <w:color w:val="000000"/>
        </w:rPr>
        <w:t>İşlem</w:t>
      </w:r>
    </w:p>
    <w:p>
      <w:r>
        <w:rPr>
          <w:color w:val="000000"/>
        </w:rPr>
        <w:t>Bu form iştirakin borçlu olacağı belirli ödünç işlemi içindir. Paydaşın kişisel borcu aynı kapsam değildir.</w:t>
      </w:r>
    </w:p>
    <w:p>
      <w:pPr>
        <w:pStyle w:val="Heading2"/>
      </w:pPr>
      <w:r>
        <w:rPr>
          <w:color w:val="000000"/>
        </w:rPr>
        <w:t>Taslak</w:t>
      </w:r>
    </w:p>
    <w:p>
      <w:r>
        <w:rPr>
          <w:color w:val="000000"/>
        </w:rPr>
        <w:t>Karşı taraf, ana tutar, para birimi, vade ve diğer koşullar belirli sürümle gösterilir. Dosyada bulunmayan faiz eklenmez.</w:t>
      </w:r>
    </w:p>
    <w:p>
      <w:pPr>
        <w:pStyle w:val="Heading2"/>
      </w:pPr>
      <w:r>
        <w:rPr>
          <w:color w:val="000000"/>
        </w:rPr>
        <w:t>Yetki</w:t>
      </w:r>
    </w:p>
    <w:p>
      <w:r>
        <w:rPr>
          <w:color w:val="000000"/>
        </w:rPr>
        <w:t>TTK 1070 dördüncü fıkra özel yetki arar. Genel müdürlük veya tamir bütçesi özel ödünç yetkisi yerine geçirilmez.</w:t>
      </w:r>
    </w:p>
    <w:p>
      <w:pPr>
        <w:pStyle w:val="Heading2"/>
      </w:pPr>
      <w:r>
        <w:rPr>
          <w:color w:val="000000"/>
        </w:rPr>
        <w:t>Ayrı taahhüt</w:t>
      </w:r>
    </w:p>
    <w:p>
      <w:r>
        <w:rPr>
          <w:color w:val="000000"/>
        </w:rPr>
        <w:t>Kambiyo, satış, rehin ve kişisel taahhüt ayrı değerlendirilir. Bu istem bunlara verilmiş yetki beyanı değildir.</w:t>
      </w:r>
    </w:p>
    <w:p>
      <w:pPr>
        <w:pStyle w:val="Heading2"/>
      </w:pPr>
      <w:r>
        <w:rPr>
          <w:color w:val="000000"/>
        </w:rPr>
        <w:t>Uygulama</w:t>
      </w:r>
    </w:p>
    <w:p>
      <w:r>
        <w:rPr>
          <w:color w:val="000000"/>
        </w:rPr>
        <w:t>Gerçek özel karar ve son sözleşme karşılaştırılır. Talep, karar, imza ve kullandırım ayrı kayıtlardır.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