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Hapisli Eşya Satışından Karşılanmayan Navlun Bakiyesi</w:t>
      </w:r>
    </w:p>
    <w:p>
      <w:pPr>
        <w:widowControl/>
      </w:pPr>
      <w:r>
        <w:t>MUHATAP TAŞITAN: [Ad/unvan ve adres]</w:t>
        <w:br/>
        <w:t>TALEP EDEN TAŞIYAN: [Ad/unvan, adres, yetkili temsilci]</w:t>
        <w:br/>
        <w:t>NAVLUN SÖZLEŞMESİ / EŞYA: [Gerçek referans ve ayırt edici bilgiler]</w:t>
        <w:br/>
        <w:t>PARAYA ÇEVİRME KAYDI: [Gerçek dosya ve satış referansı]</w:t>
        <w:br/>
        <w:t>KONU: TTK m.1206/1 uyarınca hapisli eşyanın satışından elde edilemeyen navlun sözleşmesi alacağı bakiyesinin ödenmesi talebidir.</w:t>
      </w:r>
    </w:p>
    <w:p>
      <w:pPr>
        <w:widowControl/>
      </w:pPr>
      <w:r>
        <w:t>1. [Sözleşme]nin taşıyan tarafıyız. Bu sözleşmeden doğan, talebe konu alacaklar [kalem ve gerçek dayanaklar] olup satış öncesi ilgili toplam [tutar ve para birimi]dir. Alacak ve önceki ödeme kayıtları ektedir.</w:t>
      </w:r>
    </w:p>
    <w:p>
      <w:pPr>
        <w:widowControl/>
      </w:pPr>
      <w:r>
        <w:t>2. Hapis hakkı kullanılan [eşya]nın paraya çevrilmesi [gerçek işlem referansı] ile istenmiş, [gerçek tarih]te [gerçek kapsam] satılmıştır. Satış ve dağıtım/tahsilat belgeleri [ekler]dir. Gerçek brüt bedel [tutar], belgeli dağıtım/kesintiler [cetvel], ilgili alacaklar için elde edilen satış tahsilatı [tutar]dır.</w:t>
      </w:r>
    </w:p>
    <w:p>
      <w:pPr>
        <w:widowControl/>
      </w:pPr>
      <w:r>
        <w:t>3. Aynı alacaklar için diğer gerçek ödeme ve mahsuplar [belge ve tutar; yoksa yoktur]dır. Satış sonucu ve bu kayıtlar hesaba katıldığında elde edilemeyen net bakiye [tutar ve para birimi]dir. Kalemlerin bu navlun sözleşmesiyle bağlantısı ve hesap karşılaştırması ek cetvelde gösterilmiştir. Tahsil edilmiş tutar mükerrer istenmemektedir.</w:t>
      </w:r>
    </w:p>
    <w:p>
      <w:pPr>
        <w:widowControl/>
      </w:pPr>
      <w:r>
        <w:rPr>
          <w:b/>
        </w:rPr>
        <w:t>SONUÇ VE İSTEM: TTK m.1206/1 uyarınca, tarafınızla yapılan navlun sözleşmesinden doğan ve açıklanan satış sonucunda elde edilemeyen [net tutar ve para birimi]nin [hak sahibine ait gerçek ödeme bilgileri] üzerinden ödenmesini, yapılan ödemenin ilgili sözleşme referansıyla bildirilmesini talep ederiz. İstemimiz ek cetveldeki gerçek bakiye ve belirtilen alacaklarla sınırlıdır.</w:t>
      </w:r>
    </w:p>
    <w:p>
      <w:pPr>
        <w:widowControl/>
      </w:pPr>
      <w:r>
        <w:t>EKLER: 1. İlgili sözleşme ve alacak kayıtları 2. Hapis/paraya çevirme dayanakları 3. Gerçek satış belgesi 4. Dağıtım ve tahsilat kayıtları 5. Diğer ödemeler ve net bakiye cetveli.</w:t>
        <w:br/>
        <w:t>Tarih: [Gerçek gönderim tarihi]</w:t>
        <w:br/>
        <w:t>Taşıyan / yetkili temsilci: [Ad, unvan]</w:t>
        <w:br/>
        <w:t>İmza: [Gerçek imza]</w:t>
      </w:r>
    </w:p>
    <w:p>
      <w:r>
        <w:br w:type="page"/>
      </w:r>
    </w:p>
    <w:p>
      <w:pPr>
        <w:pStyle w:val="Heading1"/>
      </w:pPr>
      <w:r>
        <w:t>Dosyaya Uyarlama ve Bakiye Kontrolü</w:t>
      </w:r>
    </w:p>
    <w:p>
      <w:r>
        <w:rPr>
          <w:b/>
        </w:rPr>
        <w:t xml:space="preserve">1. Gerçek satış aşaması: </w:t>
      </w:r>
      <w:r>
        <w:t>TTK m.1206/1 hapisli eşyanın paraya çevrilmesinin istenmesi ve satış sonucunda alacağın tamamen elde edilememesini düzenler. Depolama, değer tespiti veya teklif alınmasını tamamlanmış satış gibi yazmayın.</w:t>
      </w:r>
    </w:p>
    <w:p>
      <w:r>
        <w:rPr>
          <w:b/>
        </w:rPr>
        <w:t xml:space="preserve">2. Taraf ve sözleşme: </w:t>
      </w:r>
      <w:r>
        <w:t>Taşıyan, taşıtan, gönderilen ve temsilci sıfatlarını doğrulayın. Her alacak kalemini taşıyan ile taşıtan arasındaki ilgili navlun sözleşmesine bağlayın. Başka şirket veya ayrı ticari ilişkinin borcunu bu talebe açıklamasız eklemeyin.</w:t>
      </w:r>
    </w:p>
    <w:p>
      <w:r>
        <w:rPr>
          <w:b/>
        </w:rPr>
        <w:t xml:space="preserve">3. Hapis hakkı kapsamı: </w:t>
      </w:r>
      <w:r>
        <w:t>TTK m.1201/2 ilgili eşyanın taşındığı yolculuktan doğan alacakları esas alır. M.1201/3 miktar sınırı ve müşterek avarya/kurtarma ayrımını korur. Üçüncü kişi gönderilen ve farklı senetler varsa m.1203–1204 kapsamını ayrıca kontrol edin.</w:t>
      </w:r>
    </w:p>
    <w:p>
      <w:r>
        <w:rPr>
          <w:b/>
        </w:rPr>
        <w:t xml:space="preserve">4. Satış ve tahsilat: </w:t>
      </w:r>
      <w:r>
        <w:t>Brüt satış, belgeli kesintiler, dağıtım ve ilgili alacaklar için gerçek tahsilat ayrı gösterilir. Tahmini satış değerini gelir yapmayın. Her para birimi ve dönüşüm gerçek işlem kaydına dayanmalıdır.</w:t>
      </w:r>
    </w:p>
    <w:p>
      <w:r>
        <w:rPr>
          <w:b/>
        </w:rPr>
        <w:t xml:space="preserve">5. Net bakiye: </w:t>
      </w:r>
      <w:r>
        <w:t>İlgili alacaklar, satıştan elde edilen tutar ve aynı alacak için diğer ödemeler kalem kalem karşılaştırılır. Tahsil edilmiş tutar yeniden istenmez. Kesintileri iki kez ekleyerek borç büyütmeyin. Sonuç bölümündeki net tutar ek cetvelle eşleşmelidir.</w:t>
      </w:r>
    </w:p>
    <w:p>
      <w:r>
        <w:rPr>
          <w:b/>
        </w:rPr>
        <w:t xml:space="preserve">6. Ayrı hukuki sonuçlar: </w:t>
      </w:r>
      <w:r>
        <w:t>TTK m.1205 teslim sonrası rücu sınırı, m.1207 teslim istememe durumudur; gerçek satış açığıyla karıştırılmaz. M.1246 muacceliyeti esas alır ve m.1188 saklıdır. Satış gününü bütün süreleri otomatik yenileyen tarih gibi yazmayın.</w:t>
      </w:r>
    </w:p>
    <w:p>
      <w:r>
        <w:rPr>
          <w:b/>
        </w:rPr>
        <w:t xml:space="preserve">7. Gerçek tarih ve imza: </w:t>
      </w:r>
      <w:r>
        <w:t>Gerçek gönderim günü ve yetkili kişinin gerçek imzası kullanılır. Güvenli elektronik imza fiilen uygulanmadan e-imzalıdır yazılmaz. Yalnız gerçek ekler bırakılır; köşeli parantezler doldurulur ve bu hazırlık sayfası sunulan nüshadan çıkarılır.</w:t>
      </w:r>
    </w:p>
    <w:p>
      <w:r>
        <w:t>Genel ve düzenlenebilir örnek. Doğrudan dayanak: TTK m.1206/1; bağlantılı hükümler m.1200–1205, 1207 ve m.1188 saklı kalmak üzere 1246. Güncel resmî metin 9 Ekim 2026 tarihinde incelendi. Hukuki kapsam ve yazar: Av. Halil Bakırcı, Mersin Barosu 3472. Gerçek paraya çevirme, satış tahsilatı, aynı alacağa diğer ödemeler ve net bakiye birlikte kontrol edilir.</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Hapisli Eşya Satışından Karşılanmayan Navlun Bakiyesi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