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İdari Eylem Nedeniyle Tam Yargı Davası Dilekçesi</w:t>
      </w:r>
    </w:p>
    <w:p>
      <w:r>
        <w:rPr>
          <w:b/>
        </w:rPr>
        <w:t>[YETKİLİ YER] İDARE MAHKEMESİ BAŞKANLIĞINA</w:t>
      </w:r>
    </w:p>
    <w:p>
      <w:r>
        <w:rPr>
          <w:b w:val="0"/>
        </w:rPr>
        <w:t>DAVACI: [Ad soyad, T.C. kimlik numarası ve adres]</w:t>
      </w:r>
    </w:p>
    <w:p>
      <w:r>
        <w:rPr>
          <w:b w:val="0"/>
        </w:rPr>
        <w:t>VEKİLİ: [Varsa avukat adı ve adresi]</w:t>
      </w:r>
    </w:p>
    <w:p>
      <w:r>
        <w:rPr>
          <w:b w:val="0"/>
        </w:rPr>
        <w:t>DAVALI İDARE: [Eylemden sorumlu kamu idaresinin tam unvanı ve adresi]</w:t>
      </w:r>
    </w:p>
    <w:p>
      <w:r>
        <w:rPr>
          <w:b/>
        </w:rPr>
        <w:t>DAVA KONUSU: [Belirli idari eylem] nedeniyle oluşan [tutar] TL maddi ve [talep varsa tutar] TL manevi zararın, aşağıda gerekçesi açıklanan tarihten işleyecek yasal faiziyle tazmini talebidir.</w:t>
      </w:r>
    </w:p>
    <w:p>
      <w:r>
        <w:rPr>
          <w:b/>
        </w:rPr>
        <w:t>AÇIKLAMALAR</w:t>
      </w:r>
    </w:p>
    <w:p>
      <w:r>
        <w:rPr>
          <w:b w:val="0"/>
        </w:rPr>
        <w:t>1. Davalı idarenin [hizmetin ve eylemin somut tanımı] kapsamında [tarih ve yerde] gerçekleşen [eylem/ihmal], davacı bakımından [belirli zarar] doğurmuştur. Olayın oluş biçimi [tutanak/kayıt/diğer belge] ile; davalı idarenin hizmetle bağlantısı [belge] ile gösterilmiştir. İdari yargının görevli olduğu somut hukuki neden [açıklama] şeklindedir.</w:t>
      </w:r>
    </w:p>
    <w:p>
      <w:r>
        <w:rPr>
          <w:b w:val="0"/>
        </w:rPr>
        <w:t>2. İdari eylem ve zararla bağlantısı [öğrenme tarihi ve öğrenmeyi gösteren belge] üzerinden belirlenmiştir. Eylem tarihi [tarih] olup İYUK m.13 kapsamındaki bir yıllık ve beş yıllık başvuru süreleri, ekli kronolojide belgeye göre hesaplanmıştır.</w:t>
      </w:r>
    </w:p>
    <w:p>
      <w:r>
        <w:rPr>
          <w:b w:val="0"/>
        </w:rPr>
        <w:t>3. Davalı idareye [tarih] tarihinde, [evrak/KEP numarası] ile [tutar ve istenen zarar kalemleri] için tazminat başvurusu yapılmıştır. Başvuru [ret tarih ve sayısı] ile [tamamen/kısmen] reddedilmiş; ret [tebliğ tarihi] tarihinde bildirilmiştir. Cevap verilmemişse bu bölüm yerine otuz günlük cevapsızlık süresinin başlangıcı ve bitişi yazılır. Alternatifler birlikte bırakılmaz.</w:t>
      </w:r>
    </w:p>
    <w:p>
      <w:r>
        <w:rPr>
          <w:b w:val="0"/>
        </w:rPr>
        <w:t>4. Dava süresi, [açık ret tebliğini izleyen gün / otuz günlük cevapsızlık süresinin bitişi] esas alınarak hesaplanmıştır. Başlangıç [tarih], uygulanacak dava süresi [hukuki dayanakla süre], son gün [tarih] olup bu dava [açılış tarihi] tarihinde açılmaktadır. Özel süre veya süreyi etkileyen işlem varsa gerçek belgesiyle açıklanır.</w:t>
      </w:r>
    </w:p>
    <w:p>
      <w:r>
        <w:rPr>
          <w:b w:val="0"/>
        </w:rPr>
        <w:t>5. Maddi zarar kalemleri [kalem, tutar, hesap ve belge] biçiminde Ek-4 çizelgesinde gösterilmiştir. Önceki ödeme veya karşılanan bölüm [tarih/tutar] hesaptan ayrılmıştır. İdari eylemle her zarar kalemi arasındaki bağlantı [somut açıklama] olup tartışmalı teknik hususlar için [inceleme konusu] hakkında bilirkişi incelemesi talep edilmektedir.</w:t>
      </w:r>
    </w:p>
    <w:p>
      <w:r>
        <w:rPr>
          <w:b w:val="0"/>
        </w:rPr>
        <w:t>6. Manevi tazminat isteniyorsa davacının [olaya özgü etkilenme ve dayanakları] açıklanır; istenmiyorsa ilgili tutar ve sonuç bendi çıkarılır. Sorumluluğun dayanağı [hizmet kusuru veya olaya uygulanabilen diğer sorumluluk nedeni] olup bunu destekleyen olgular [açıklama ve delil] şeklindedir. Faiz başlangıcı [tarih] talebinin somut hukuki nedeni [gerekçe] olarak gösterilmiştir.</w:t>
      </w:r>
    </w:p>
    <w:p>
      <w:r>
        <w:rPr>
          <w:b w:val="0"/>
        </w:rPr>
        <w:t>HUKUKİ NEDENLER: Anayasa m.125; 2577 sayılı İYUK m.2, 3, 7, 13 ve 36 ile somut hizmet ve zarara uygulanacak ilgili mevzuat.</w:t>
      </w:r>
    </w:p>
    <w:p>
      <w:r>
        <w:rPr>
          <w:b w:val="0"/>
        </w:rPr>
        <w:t>DELİLLER: Eylem ve hizmet kayıtları; öğrenme belgesi; tazminat başvurusu ve teslim kaydı; ret ve tebliğ belgesi veya cevapsızlık kronolojisi; zarar hesapları ve belgeleri; ilgili idari dosyanın celbi; gereken hususlarda keşif ve bilirkişi incelemesi.</w:t>
      </w:r>
    </w:p>
    <w:p>
      <w:r>
        <w:rPr>
          <w:b/>
        </w:rPr>
        <w:t>SONUÇ VE İSTEM: Açıklanan nedenlerle; (1) [tutar] TL maddi tazminatın, (2) talep edilmişse [tutar] TL manevi tazminatın, her bir kalem için yukarıda gerekçesi gösterilen tarihten işleyecek yasal faiziyle davalı idareden tahsiline; (3) [belirli kayıt/dosya] belgelerinin davalı idareden getirtilmesine ve belirtilen teknik konuda bilirkişi incelemesi yapılmasına; (4) yargılama giderleri ile varsa vekâlet ücretinin davalı idareye yükletilmesine karar verilmesini talep ederim.</w:t>
      </w:r>
    </w:p>
    <w:p>
      <w:r>
        <w:rPr>
          <w:b w:val="0"/>
        </w:rPr>
        <w:t>Tarih: [gg.aa.yyyy]     Davacı / Vekili: [Ad soyad ve imza]</w:t>
      </w:r>
    </w:p>
    <w:p>
      <w:r>
        <w:rPr>
          <w:b w:val="0"/>
        </w:rPr>
        <w:t>EKLER: Ek-1 olay ve öğrenme kayıtları; Ek-2 idareye başvuru ve teslim belgesi; Ek-3 ret ve tebliğ veya cevapsızlık çizelgesi; Ek-4 zarar hesabı ve dayanakları; varsa vekâletname ve diğer numaralı belgeler.</w:t>
      </w:r>
    </w:p>
    <w:p>
      <w:r>
        <w:br w:type="page"/>
      </w:r>
    </w:p>
    <w:p>
      <w:pPr>
        <w:pStyle w:val="Title"/>
      </w:pPr>
      <w:r>
        <w:t>Dilekçeyi Dosyaya Uyarlama ve Süre Kontrolü</w:t>
      </w:r>
    </w:p>
    <w:p>
      <w:r>
        <w:t>Bu sayfa çalışma rehberidir ve dava dilekçesinin parçası olarak sunulmaz. Örnek, idari yargının görevine giren bir idari eylem için İYUK m.13 ön başvurusu sonrasındaki davaya yöneliktir. İdari işlemden doğan İYUK m.12 davası, vergi davası veya KTK m.110 kapsamındaki trafik sorumluluğu davası bu örneğe doğrudan yerleştirilmez.</w:t>
      </w:r>
    </w:p>
    <w:tbl>
      <w:tblPr>
        <w:tblStyle w:val="TableGrid"/>
        <w:tblW w:type="auto" w:w="0"/>
        <w:tblLook w:firstColumn="1" w:firstRow="1" w:lastColumn="0" w:lastRow="0" w:noHBand="0" w:noVBand="1" w:val="04A0"/>
      </w:tblPr>
      <w:tblGrid>
        <w:gridCol w:w="3456"/>
        <w:gridCol w:w="3456"/>
        <w:gridCol w:w="3456"/>
      </w:tblGrid>
      <w:tr>
        <w:tc>
          <w:tcPr>
            <w:tcW w:type="dxa" w:w="3456"/>
            <w:shd w:fill="1E3A5F"/>
          </w:tcPr>
          <w:p>
            <w:r>
              <w:rPr>
                <w:b/>
                <w:color w:val="FFFFFF"/>
              </w:rPr>
              <w:t>Kontrol</w:t>
            </w:r>
          </w:p>
        </w:tc>
        <w:tc>
          <w:tcPr>
            <w:tcW w:type="dxa" w:w="3456"/>
            <w:shd w:fill="1E3A5F"/>
          </w:tcPr>
          <w:p>
            <w:r>
              <w:rPr>
                <w:b/>
                <w:color w:val="FFFFFF"/>
              </w:rPr>
              <w:t>Gerçek dosya bilgisi</w:t>
            </w:r>
          </w:p>
        </w:tc>
        <w:tc>
          <w:tcPr>
            <w:tcW w:type="dxa" w:w="3456"/>
            <w:shd w:fill="1E3A5F"/>
          </w:tcPr>
          <w:p>
            <w:r>
              <w:rPr>
                <w:b/>
                <w:color w:val="FFFFFF"/>
              </w:rPr>
              <w:t>Belge ve ayrım</w:t>
            </w:r>
          </w:p>
        </w:tc>
      </w:tr>
      <w:tr>
        <w:tc>
          <w:tcPr>
            <w:tcW w:type="dxa" w:w="3456"/>
          </w:tcPr>
          <w:p>
            <w:r>
              <w:t>Yargı kolu</w:t>
            </w:r>
          </w:p>
        </w:tc>
        <w:tc>
          <w:tcPr>
            <w:tcW w:type="dxa" w:w="3456"/>
          </w:tcPr>
          <w:p>
            <w:r>
              <w:t>[İdari yargının görev nedeni]</w:t>
            </w:r>
          </w:p>
        </w:tc>
        <w:tc>
          <w:tcPr>
            <w:tcW w:type="dxa" w:w="3456"/>
          </w:tcPr>
          <w:p>
            <w:r>
              <w:t>[Özel kanun ve KTK110 ayrımı]</w:t>
            </w:r>
          </w:p>
        </w:tc>
      </w:tr>
      <w:tr>
        <w:tc>
          <w:tcPr>
            <w:tcW w:type="dxa" w:w="3456"/>
          </w:tcPr>
          <w:p>
            <w:r>
              <w:t>Yetkili yer</w:t>
            </w:r>
          </w:p>
        </w:tc>
        <w:tc>
          <w:tcPr>
            <w:tcW w:type="dxa" w:w="3456"/>
          </w:tcPr>
          <w:p>
            <w:r>
              <w:t>[Mahkeme ve somut neden]</w:t>
            </w:r>
          </w:p>
        </w:tc>
        <w:tc>
          <w:tcPr>
            <w:tcW w:type="dxa" w:w="3456"/>
          </w:tcPr>
          <w:p>
            <w:r>
              <w:t>[İYUK36 ve varsa özel hüküm]</w:t>
            </w:r>
          </w:p>
        </w:tc>
      </w:tr>
      <w:tr>
        <w:tc>
          <w:tcPr>
            <w:tcW w:type="dxa" w:w="3456"/>
          </w:tcPr>
          <w:p>
            <w:r>
              <w:t>Eylem</w:t>
            </w:r>
          </w:p>
        </w:tc>
        <w:tc>
          <w:tcPr>
            <w:tcW w:type="dxa" w:w="3456"/>
          </w:tcPr>
          <w:p>
            <w:r>
              <w:t>[Tarih, yer, hizmet, sorumlu idare]</w:t>
            </w:r>
          </w:p>
        </w:tc>
        <w:tc>
          <w:tcPr>
            <w:tcW w:type="dxa" w:w="3456"/>
          </w:tcPr>
          <w:p>
            <w:r>
              <w:t>[Tutanak ve idari kayıt]</w:t>
            </w:r>
          </w:p>
        </w:tc>
      </w:tr>
      <w:tr>
        <w:tc>
          <w:tcPr>
            <w:tcW w:type="dxa" w:w="3456"/>
          </w:tcPr>
          <w:p>
            <w:r>
              <w:t>Öğrenme</w:t>
            </w:r>
          </w:p>
        </w:tc>
        <w:tc>
          <w:tcPr>
            <w:tcW w:type="dxa" w:w="3456"/>
          </w:tcPr>
          <w:p>
            <w:r>
              <w:t>[Tarih ve neyin öğrenildiği]</w:t>
            </w:r>
          </w:p>
        </w:tc>
        <w:tc>
          <w:tcPr>
            <w:tcW w:type="dxa" w:w="3456"/>
          </w:tcPr>
          <w:p>
            <w:r>
              <w:t>[Yazı, rapor veya diğer kayıt]</w:t>
            </w:r>
          </w:p>
        </w:tc>
      </w:tr>
      <w:tr>
        <w:tc>
          <w:tcPr>
            <w:tcW w:type="dxa" w:w="3456"/>
          </w:tcPr>
          <w:p>
            <w:r>
              <w:t>Ön başvuru</w:t>
            </w:r>
          </w:p>
        </w:tc>
        <w:tc>
          <w:tcPr>
            <w:tcW w:type="dxa" w:w="3456"/>
          </w:tcPr>
          <w:p>
            <w:r>
              <w:t>[Tarih, tutar ve kalemler]</w:t>
            </w:r>
          </w:p>
        </w:tc>
        <w:tc>
          <w:tcPr>
            <w:tcW w:type="dxa" w:w="3456"/>
          </w:tcPr>
          <w:p>
            <w:r>
              <w:t>[Bir yıl ve beş yıl denetimi]</w:t>
            </w:r>
          </w:p>
        </w:tc>
      </w:tr>
      <w:tr>
        <w:tc>
          <w:tcPr>
            <w:tcW w:type="dxa" w:w="3456"/>
          </w:tcPr>
          <w:p>
            <w:r>
              <w:t>Ret / cevapsızlık</w:t>
            </w:r>
          </w:p>
        </w:tc>
        <w:tc>
          <w:tcPr>
            <w:tcW w:type="dxa" w:w="3456"/>
          </w:tcPr>
          <w:p>
            <w:r>
              <w:t>[Tebliğ veya otuz günün bitişi]</w:t>
            </w:r>
          </w:p>
        </w:tc>
        <w:tc>
          <w:tcPr>
            <w:tcW w:type="dxa" w:w="3456"/>
          </w:tcPr>
          <w:p>
            <w:r>
              <w:t>[Ret mazbatası / teslim belgesi]</w:t>
            </w:r>
          </w:p>
        </w:tc>
      </w:tr>
      <w:tr>
        <w:tc>
          <w:tcPr>
            <w:tcW w:type="dxa" w:w="3456"/>
          </w:tcPr>
          <w:p>
            <w:r>
              <w:t>Dava süresi</w:t>
            </w:r>
          </w:p>
        </w:tc>
        <w:tc>
          <w:tcPr>
            <w:tcW w:type="dxa" w:w="3456"/>
          </w:tcPr>
          <w:p>
            <w:r>
              <w:t>[Başlangıç, süre, son gün]</w:t>
            </w:r>
          </w:p>
        </w:tc>
        <w:tc>
          <w:tcPr>
            <w:tcW w:type="dxa" w:w="3456"/>
          </w:tcPr>
          <w:p>
            <w:r>
              <w:t>[İYUK7 ve13; özel hüküm kontrolü]</w:t>
            </w:r>
          </w:p>
        </w:tc>
      </w:tr>
      <w:tr>
        <w:tc>
          <w:tcPr>
            <w:tcW w:type="dxa" w:w="3456"/>
          </w:tcPr>
          <w:p>
            <w:r>
              <w:t>Maddi zarar</w:t>
            </w:r>
          </w:p>
        </w:tc>
        <w:tc>
          <w:tcPr>
            <w:tcW w:type="dxa" w:w="3456"/>
          </w:tcPr>
          <w:p>
            <w:r>
              <w:t>[Her kalem ve toplam]</w:t>
            </w:r>
          </w:p>
        </w:tc>
        <w:tc>
          <w:tcPr>
            <w:tcW w:type="dxa" w:w="3456"/>
          </w:tcPr>
          <w:p>
            <w:r>
              <w:t>[Fatura, ödeme, rapor, mahsup]</w:t>
            </w:r>
          </w:p>
        </w:tc>
      </w:tr>
      <w:tr>
        <w:tc>
          <w:tcPr>
            <w:tcW w:type="dxa" w:w="3456"/>
          </w:tcPr>
          <w:p>
            <w:r>
              <w:t>Manevi zarar</w:t>
            </w:r>
          </w:p>
        </w:tc>
        <w:tc>
          <w:tcPr>
            <w:tcW w:type="dxa" w:w="3456"/>
          </w:tcPr>
          <w:p>
            <w:r>
              <w:t>[Varsa tutar ve somut neden]</w:t>
            </w:r>
          </w:p>
        </w:tc>
        <w:tc>
          <w:tcPr>
            <w:tcW w:type="dxa" w:w="3456"/>
          </w:tcPr>
          <w:p>
            <w:r>
              <w:t>[İstenmiyorsa bentleri çıkarın]</w:t>
            </w:r>
          </w:p>
        </w:tc>
      </w:tr>
      <w:tr>
        <w:tc>
          <w:tcPr>
            <w:tcW w:type="dxa" w:w="3456"/>
          </w:tcPr>
          <w:p>
            <w:r>
              <w:t>Faiz</w:t>
            </w:r>
          </w:p>
        </w:tc>
        <w:tc>
          <w:tcPr>
            <w:tcW w:type="dxa" w:w="3456"/>
          </w:tcPr>
          <w:p>
            <w:r>
              <w:t>[Her kalem için başlangıç]</w:t>
            </w:r>
          </w:p>
        </w:tc>
        <w:tc>
          <w:tcPr>
            <w:tcW w:type="dxa" w:w="3456"/>
          </w:tcPr>
          <w:p>
            <w:r>
              <w:t>[Somut gerekçe ve dayanak]</w:t>
            </w:r>
          </w:p>
        </w:tc>
      </w:tr>
      <w:tr>
        <w:tc>
          <w:tcPr>
            <w:tcW w:type="dxa" w:w="3456"/>
          </w:tcPr>
          <w:p>
            <w:r>
              <w:t>Talepler</w:t>
            </w:r>
          </w:p>
        </w:tc>
        <w:tc>
          <w:tcPr>
            <w:tcW w:type="dxa" w:w="3456"/>
          </w:tcPr>
          <w:p>
            <w:r>
              <w:t>[Belirli tutarlar ve kayıt celbi]</w:t>
            </w:r>
          </w:p>
        </w:tc>
        <w:tc>
          <w:tcPr>
            <w:tcW w:type="dxa" w:w="3456"/>
          </w:tcPr>
          <w:p>
            <w:r>
              <w:t>[Vakıa ve delille eşleştirme]</w:t>
            </w:r>
          </w:p>
        </w:tc>
      </w:tr>
      <w:tr>
        <w:tc>
          <w:tcPr>
            <w:tcW w:type="dxa" w:w="3456"/>
          </w:tcPr>
          <w:p>
            <w:r>
              <w:t>İmza ve teslim</w:t>
            </w:r>
          </w:p>
        </w:tc>
        <w:tc>
          <w:tcPr>
            <w:tcW w:type="dxa" w:w="3456"/>
          </w:tcPr>
          <w:p>
            <w:r>
              <w:t>[Gerçek imza, evrak kaydı]</w:t>
            </w:r>
          </w:p>
        </w:tc>
        <w:tc>
          <w:tcPr>
            <w:tcW w:type="dxa" w:w="3456"/>
          </w:tcPr>
          <w:p>
            <w:r>
              <w:t>[Güvenli e-imza kullanılmadan e-imzalıdır yazmayın]</w:t>
            </w:r>
          </w:p>
        </w:tc>
      </w:tr>
    </w:tbl>
    <w:p>
      <w:r>
        <w:t>Süre notu: İYUK m.13, idari eylemin öğrenilmesinden itibaren bir yıl ve her durumda eylemden itibaren beş yıl içinde ilgili idareye başvuruyu düzenler. Açık ret tebliği veya otuz gün cevap verilmemesi sonrasında dava süresi hesaplanır. İYUK m.7 bakımından özel kanunda farklı süre yoksa idare mahkemesindeki genel dava süresi altmış gündür. Süre başlangıcı somut öğrenme ve tebliğ kayıtlarıyla değerlendirilmelidir.</w:t>
      </w:r>
    </w:p>
    <w:p>
      <w:r>
        <w:t>Kapsam notu: İYUK m.13/2 kapsamındaki adli yargıda görevden ret sonrası durumlar ve özel başvuru rejimleri ayrıca incelenir. Dilekçedeki alternatifler temizlenmeli; mevcut olmayan olay, belge, zarar veya manevi tazminat sebebi eklenmemelidir. Dilekçe kabul veya tazminata hükmedileceği garantisi vermez.</w:t>
      </w:r>
    </w:p>
    <w:p>
      <w:r>
        <w:t>Resmî kaynak: Adalet Bakanlığı güncel mevzuat kaydı — https://mevzuat.adalet.gov.tr/mevzuat/103161?query=2577</w:t>
      </w:r>
    </w:p>
    <w:p>
      <w:r>
        <w:t>Hukuki kontrol tarihi 15 Ekim 2026. Hazırlayan Av. Halil Bakırcı — Mersin Barosu sicil3472.</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Aptos" w:hAnsi="Aptos"/>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ptos Display" w:hAnsi="Aptos Display"/>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