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SULH HUKUK MAHKEMESİNE</w:t>
      </w:r>
    </w:p>
    <w:p>
      <w:r>
        <w:t>DAVACI KİRAYA VEREN: [Ad soyad, gerekli kimlik bilgileri ve adres]</w:t>
      </w:r>
    </w:p>
    <w:p>
      <w:r>
        <w:t>VEKİLİ (VARSA): [Gerçek vekilin adı soyadı ve adresi; yoksa çıkarın]</w:t>
      </w:r>
    </w:p>
    <w:p>
      <w:r>
        <w:t>DAVALI KİRACI: [Ad soyad/unvan ve adres; sözleşmedeki tarafları kontrol edin]</w:t>
      </w:r>
    </w:p>
    <w:p>
      <w:r>
        <w:t>KİRALANAN: [Tam adres ve bağımsız bölüm; konut/çatılı işyeri niteliği]</w:t>
      </w:r>
    </w:p>
    <w:p>
      <w:r>
        <w:t>HARCA ESAS DEĞER: [Dava tarihindeki yıllık kira bedeli; tutar ve hesap]</w:t>
      </w:r>
    </w:p>
    <w:p>
      <w:r>
        <w:t>KONU: TBK m.350/1 uyarınca [ihtiyaç sahibinin adı ve kanuni yakınlığı] için [konut/işyeri] gereksinimi nedeniyle kiralananın tahliyesi talebidir.</w:t>
      </w:r>
    </w:p>
    <w:p>
      <w:pPr>
        <w:keepNext/>
      </w:pPr>
      <w:r>
        <w:rPr>
          <w:b/>
        </w:rPr>
        <w:t>AÇIKLAMALAR</w:t>
      </w:r>
    </w:p>
    <w:p>
      <w:r>
        <w:t>1. Davalı, [tarih] başlangıçlı [süre ve tür] kira sözleşmesiyle belirtilen yeri kullanmaktadır. Kiraya veren sıfatımın dayanağı [sözleşme ve varsa ilgili kayıt]tır. Davaya esas kira döneminin bitişi [tarih]dir. Belirsiz süreliyse fesih bildirimi, kiracıya ulaşma tarihi ve kanuni fesih dönemi [belge ve tarihler] ile belirlenmiştir.</w:t>
      </w:r>
    </w:p>
    <w:p>
      <w:r>
        <w:t>2. İhtiyaç sahibi [ad, davacıyla kanuni yakınlık], şu anda [mevcut konut/işyeri ve somut koşullar] içindedir. [İhtiyacın doğma nedeni, tarihi, neden bu yerin uygun olduğu ve kullanılma planı] nedeniyle kiralanana gereksinim vardır. [Varsa kullanılabilir başka yerler ve neden ihtiyacı karşılamadıkları] açıklanmıştır. İhtiyaç günceldir; [belge ve doğrudan bilgi sahibi tanık] ile kanıtlanacaktır.</w:t>
      </w:r>
    </w:p>
    <w:p>
      <w:r>
        <w:t>3. TBK m.350’ye göre dava açma hakkının doğduğu tarih [tarih]dir. [353’e dayanılıyorsa: Dava açacağımın yazılı bildirimi ... tarihinde kiracıya ulaşmıştır; bir kira yılı için uzayan süre ... şeklinde hesaplanmıştır. Dayanılmıyorsa çıkarın.] Yetkili mahkeme [davalının yerleşim yeri/sözleşmenin ifa yeri ve somut gerekçe] ile belirlenmiştir.</w:t>
      </w:r>
    </w:p>
    <w:p>
      <w:r>
        <w:t>4. Dava açma hakkı doğduktan sonra, yasal dava süresi içinde [tarih] tarihinde [büro ve dosya no] ile arabuluculuğa başvurulmuş; [tarih] son tutanağıyla anlaşma sağlanamamıştır. Başvurudan son tutanağa kadar süre hesaba katılmadan kalan dava süresi [hesap ve son gün]dür. Son tutanak ektedir; dava bu süre içinde açılmaktadır.</w:t>
      </w:r>
    </w:p>
    <w:p>
      <w:r>
        <w:t>5. [İhtiyacın gerçekliğini etkileyebilecek kira artışı görüşmesi, başka yer, önceki tahliye talebi veya farklı kullanım iddiası varsa olayı ve belgeli açıklamasını yazın.] Kiralananın ihtiyaç sahibince kullanılma amacı [somut açıklama]dır. Mevcut olmayan vakıa veya belge ileri sürmüyorum.</w:t>
      </w:r>
    </w:p>
    <w:p>
      <w:pPr>
        <w:keepNext/>
      </w:pPr>
      <w:r>
        <w:rPr>
          <w:b/>
        </w:rPr>
        <w:t>HUKUKİ NEDENLER</w:t>
      </w:r>
    </w:p>
    <w:p>
      <w:r>
        <w:t>TBK m.339, 350/1 ve uygulanıyorsa 328–329, 348, 353; HMK m.4, 6, 10, 119, 190, 194 ve ilgili hükümler; 6325 sayılı Kanun m.18/A–18/B.</w:t>
      </w:r>
    </w:p>
    <w:p>
      <w:pPr>
        <w:keepNext/>
      </w:pPr>
      <w:r>
        <w:rPr>
          <w:b/>
        </w:rPr>
        <w:t>DELİLLER VE EKLER</w:t>
      </w:r>
    </w:p>
    <w:p>
      <w:r>
        <w:t>Ek-1: Kira sözleşmesi; Ek-2: [İhtiyaç sahibinin yakınlığı ve somut ihtiyacın belgeleri]; Ek-3: [Varsa yazılı bildirim ve ulaşma kaydı]; Ek-4: Son arabuluculuk tutanağı. Tanık: [Ad, adres, doğrudan bildiği olgu]. Celbi istenen kayıt: [Kurum, belge ve ispat konusu]. Gerekiyorsa keşif/teknik inceleme: [İşyeri uygunluğu gibi somut konu].</w:t>
      </w:r>
    </w:p>
    <w:p>
      <w:pPr>
        <w:keepNext/>
      </w:pPr>
      <w:r>
        <w:rPr>
          <w:b/>
        </w:rPr>
        <w:t>SONUÇ VE İSTEM</w:t>
      </w:r>
    </w:p>
    <w:p>
      <w:r>
        <w:t>Belirtilen kiralananın TBK m.350/1 uyarınca [ihtiyaç sahibi ve konut/işyeri gereksinimi] nedeniyle tahliyesine; yargılama giderlerinin ve varsa vekâlet ücretinin davalıya yükletilmesine karar verilmesini talep ederim.</w:t>
      </w:r>
    </w:p>
    <w:p>
      <w:r>
        <w:t>[Tarih] — Davacı / varsa gerçek vekili [Ad soyad ve imza]</w:t>
      </w:r>
    </w:p>
    <w:p>
      <w:pPr>
        <w:pageBreakBefore/>
      </w:pPr>
      <w:r>
        <w:rPr>
          <w:b/>
        </w:rPr>
        <w:t>HAZIRLIK NOTLARI — DİLEKÇEYE EKLENMEZ</w:t>
      </w:r>
    </w:p>
    <w:p>
      <w:r>
        <w:rPr>
          <w:b/>
        </w:rPr>
        <w:t xml:space="preserve">Kapsam ve taraf sıfatı: </w:t>
      </w:r>
      <w:r>
        <w:t>Bu form konut/çatılı işyerinde kiraya verenin TBK 350/1 gereksinim davasıdır. Yeni malikin 351 yolu, yeniden inşa/imar, iki haklı ihtar ve tahliye taahhüdü farklıdır. Kiraya verenin mutlaka malik olması gerektiğini varsaymayın; sözleşmedeki tarafları, paylı/elbirliği mülkiyeti ve dava sıfatını somut kayıtlara göre belirleyin.</w:t>
      </w:r>
    </w:p>
    <w:p>
      <w:r>
        <w:rPr>
          <w:b/>
        </w:rPr>
        <w:t xml:space="preserve">İhtiyaç ve delil: </w:t>
      </w:r>
      <w:r>
        <w:t>İhtiyaç davacının kendisi, eşi, altsoyu, üstsoyu veya kanunen bakmakla yükümlü olduğu kişi için olmalıdır. Salt “yakınım” ifadesi yeterli değildir. Gerçek, samimi ve zorunlu ihtiyaç; doğuş nedeni, uygunluk, alternatif yer ve yargılama sırasındaki devamı bakımından açıklanır. Mevcut kira/oturma, görev, eğitim veya sağlık kaydı yalnız gerçekse eklenir. İşyeri faaliyeti ve uygunluğu somutlaştırılır; gerçek kişinin ortağı olduğu şirketin ihtiyacı kendi ihtiyacı sayılmaz (3. HD 2025/6063 E., 2026/2872 K., 07.05.2026).</w:t>
      </w:r>
    </w:p>
    <w:p>
      <w:r>
        <w:rPr>
          <w:b/>
        </w:rPr>
        <w:t xml:space="preserve">350’de dava süresi: </w:t>
      </w:r>
      <w:r>
        <w:t>Belirli süreli sözleşmede ilgili sürenin sonunda bir ay içinde; belirsizde 328–329 uyarınca fesih dönemi ve bildirim süresi belirlendikten sonra bir ay içinde dava açılır. Belirsizde yerel âdet yoksa altı aylık dönemin sonu ve üç aylık bildirim esastır; başlangıç tarihini ve varsa daha uzun sözleşme sürelerini kontrol edin. Konut/çatılı işyeri fesih bildirimi yazılıdır. Süresiz ve her an dava hakkı yoktur.</w:t>
      </w:r>
    </w:p>
    <w:p>
      <w:r>
        <w:rPr>
          <w:b/>
        </w:rPr>
        <w:t xml:space="preserve">353 bildirimi: </w:t>
      </w:r>
      <w:r>
        <w:t>En geç dava açma süresi içinde kiracıya yazılı olarak dava açılacağının bildirilmesi dava açma süresini bir kira yılı için uzatır. Bildirimin içeriği ve ulaşması kanıtlanır. Belirli süreli 350 davasında her durumda önceden noter ihtarı zorunlu değildir; belirsiz süre fesih bildirimi ile 353 bildirimi aynı işleve sahip sayılmaz.</w:t>
      </w:r>
    </w:p>
    <w:p>
      <w:r>
        <w:rPr>
          <w:b/>
        </w:rPr>
        <w:t xml:space="preserve">Arabuluculuk ve kalan gün: </w:t>
      </w:r>
      <w:r>
        <w:t>350 davasında dava açma hakkı doğduktan sonra ve dava süresi içinde zorunlu başvuruyu başlatın. Önceden tamamlanan faaliyetin dava şartını karşıladığını varsaymayın. Başvurudan son tutanağa kadar hak düşürücü süre işlemez; son tutanak yeni bir aylık süre başlatmaz. Başlangıç, başvuru, son tutanak ve kalan süreyi kayıtlarla hesaplayın. Son tutanağı ekleyin; anlaşma varsa içeriğine göre hareket edin.</w:t>
      </w:r>
    </w:p>
    <w:p>
      <w:r>
        <w:rPr>
          <w:b/>
        </w:rPr>
        <w:t xml:space="preserve">Yeni malik ayrımı: </w:t>
      </w:r>
      <w:r>
        <w:t>351/1’de edinmeden itibaren bir ay içinde yazılı bildirimin kiracıya ulaşması ve altı ay sonra dava yolu; 351/2’de sözleşme süresi sonundan başlayarak bir ay içinde dava seçeneği ayrıdır. 350 için verilen arabuluculuk zamanlama kararını 351/1’e otomatik taşımayın. Bu formu 351 gerekçesiyle değiştirmeden kullanmayın.</w:t>
      </w:r>
    </w:p>
    <w:p>
      <w:r>
        <w:rPr>
          <w:b/>
        </w:rPr>
        <w:t xml:space="preserve">Mahkeme, harç ve sunum: </w:t>
      </w:r>
      <w:r>
        <w:t>Görev sulh hukuktur. HMK 6/10 uyarınca yer yetkisini açıklayın; taşınmazın bulunduğu yeri otomatik kesin yetki kabul etmeyin. Yetki sözleşmesinde HMK 17–18 koşulları incelenir. Tahliye için harca esas değer dava tarihindeki yıllık kira bedeli üzerinden belirlenir. Hazırlık sayfasını ayırın; gerçek ekleri ve tutanağı ekleyerek UYAP/fiziki mahkeme sunum kaydını saklayın.</w:t>
      </w:r>
    </w:p>
    <w:p>
      <w:r>
        <w:rPr>
          <w:b/>
        </w:rPr>
        <w:t xml:space="preserve">Tahliye sonrası: </w:t>
      </w:r>
      <w:r>
        <w:t>TBK 355, ihtiyaçla boşaltılan yerin haklı sebep olmadan üç yıl geçmeden başkasına kiralanmasını yasaklar; aykırılıkta eski kiracıya son kira yılında ödenen bir yıllık kira bedelinden az olmayacak tazminatı düzenler. Tazminat için boşaltmanın biçimi ve diğer somut koşullar ayrıca değerlendirilir.</w:t>
      </w:r>
    </w:p>
    <w:p>
      <w:r>
        <w:t>Belge ve resmî kaynak karşılaştırması: 8 Ekim 2026</w:t>
      </w:r>
    </w:p>
    <w:p>
      <w:r>
        <w:rPr>
          <w:sz w:val="18"/>
        </w:rPr>
        <w:t>TBK: https://mevzuat.adalet.gov.tr/mevzuat/103273</w:t>
      </w:r>
    </w:p>
    <w:p>
      <w:r>
        <w:rPr>
          <w:sz w:val="18"/>
        </w:rPr>
        <w:t>6325: https://mevzuat.adalet.gov.tr/mevzuat/104320</w:t>
      </w:r>
    </w:p>
    <w:p>
      <w:r>
        <w:rPr>
          <w:sz w:val="18"/>
        </w:rPr>
        <w:t>3. HD 2025/2677 E., 2025/5038 K., 21.10.2025: 350 arabuluculuk zamanlaması</w:t>
      </w:r>
    </w:p>
    <w:p>
      <w:r>
        <w:rPr>
          <w:sz w:val="18"/>
        </w:rPr>
        <w:t>https://mevzuat.adalet.gov.tr/ictihat/1187874500</w:t>
      </w:r>
    </w:p>
    <w:p>
      <w:r>
        <w:rPr>
          <w:sz w:val="18"/>
        </w:rPr>
        <w:t>3. HD 2025/2548 E., 2025/5852 K., 03.12.2025: arabuluculukta geçen süre</w:t>
      </w:r>
    </w:p>
    <w:p>
      <w:r>
        <w:rPr>
          <w:sz w:val="18"/>
        </w:rPr>
        <w:t>https://mevzuat.adalet.gov.tr/ictihat/1195080400</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7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İhtiyaç Nedeniyle Tahliye Dava Dilekçesi</dc:title>
  <dc:subject>TBK 350/1 ihtiyaç, dava süresi ve arabuluculuk kayıtları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