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[GÖREVLİ VE YETKİLİ MAHKEME] SAYIN HÂKİMLİĞİNE</w:t>
      </w:r>
    </w:p>
    <w:p>
      <w:r>
        <w:t>DOSYA NO: [Dava açılmışsa esas numarası]</w:t>
      </w:r>
    </w:p>
    <w:p>
      <w:r>
        <w:t>TEDBİR TALEP EDEN: [Ad soyad/unvan, kimlik/vergi no, adres]</w:t>
      </w:r>
    </w:p>
    <w:p>
      <w:r>
        <w:t>KARŞI TARAF: [Ad soyad/unvan, adres]</w:t>
      </w:r>
    </w:p>
    <w:p>
      <w:r>
        <w:t>KONU: [İl, ilçe, mahalle, ada, parsel ve bağımsız bölüm] bilgili uyuşmazlık konusu taşınmazın üçüncü kişilere devrinin önlenmesi için ihtiyati tedbir talebidir.</w:t>
      </w:r>
    </w:p>
    <w:p>
      <w:pPr>
        <w:keepNext/>
      </w:pPr>
      <w:r>
        <w:rPr>
          <w:b/>
        </w:rPr>
        <w:t>AÇIKLAMALAR</w:t>
      </w:r>
    </w:p>
    <w:p>
      <w:r>
        <w:t>1. Korunmasını istediğim hak [hukuki ilişki ve asıl dava talebi] kaynaklıdır. [Tarih ve işlem] sonucunda doğmuştur. Bu iddiayı destekleyen [belge] Ek-1’dedir. [Dava açılmışsa dosya ve aşaması; açılmamışsa açılacak davanın konusu] belirtilmiştir.</w:t>
      </w:r>
    </w:p>
    <w:p>
      <w:r>
        <w:t>2. Taşınmazın mevcut sicil bilgileri [kayıt tarihi ve malik bilgisi] şeklindedir. İlgili kayıt [Ek-2 / celbi istenen tapu müdürlüğü ve açık kayıt bilgileri] ile gösterilmektedir.</w:t>
      </w:r>
    </w:p>
    <w:p>
      <w:r>
        <w:t>3. Yakın devir tehlikesi [ilan, yazışma, işlem hazırlığı veya başka somut olgu] ile ortaya çıkmıştır. [Tarih, kaynak ve içerik] bilgili kayıt Ek-3’tedir. Gecikme hâlinde [hakkın elde edilmesini zorlaştıracak somut sonuç] doğacaktır.</w:t>
      </w:r>
    </w:p>
    <w:p>
      <w:r>
        <w:t>4. İstenen önlem yalnız uyuşmazlık konusu [taşınmaz/pay] ile sınırlıdır. Bu kapsamın gerekli ve ölçülü olmasının nedeni [açıklama]dır.</w:t>
      </w:r>
    </w:p>
    <w:p>
      <w:r>
        <w:t>5. [Yalnız gerekli ise:] Karşı taraf dinlenmeden karar verilmesini gerektiren aciliyet [somut neden ve delil] nedeniyle bulunmaktadır.</w:t>
      </w:r>
    </w:p>
    <w:p>
      <w:r>
        <w:t>6. Teminat yönünden [mahkemenin belirleyeceği teminatı sunma durumu / teminatsız karar talebinin belgeye dayalı gerekçesi / mevcut adli yardım kararı] açıklanmıştır.</w:t>
      </w:r>
    </w:p>
    <w:p>
      <w:r>
        <w:t>HUKUKİ NEDENLER: HMK 389 ve devamı ile asıl uyuşmazlığa uygulanacak [ilgili hükümler].</w:t>
      </w:r>
    </w:p>
    <w:p>
      <w:r>
        <w:t>DELİLLER: [Her belgenin adı, tarihi, kaynağı, desteklediği olay ve ek numarası; celbi istenen kayıtların açık tanımı].</w:t>
      </w:r>
    </w:p>
    <w:p>
      <w:pPr>
        <w:keepNext/>
      </w:pPr>
      <w:r>
        <w:rPr>
          <w:b/>
        </w:rPr>
        <w:t>SONUÇ VE İSTEM</w:t>
      </w:r>
    </w:p>
    <w:p>
      <w:r>
        <w:t>Yukarıdaki nedenlerle;</w:t>
      </w:r>
    </w:p>
    <w:p>
      <w:r>
        <w:t>1. [Açık sicil bilgileri] ile belirlenen uyuşmazlık konusu [taşınmaz/pay] üzerinde üçüncü kişilere devri önleyecek ihtiyati tedbire,</w:t>
      </w:r>
    </w:p>
    <w:p>
      <w:r>
        <w:t>2. [Varsa gerekçesi açıklanan teminatsız tedbir talebinin değerlendirilmesine; aksi hâlde uygun teminatın belirlenmesine],</w:t>
      </w:r>
    </w:p>
    <w:p>
      <w:r>
        <w:t>3. Kararın uygulanma usulü ve ilgili sicile bildiriminin açıkça belirlenmesine,</w:t>
      </w:r>
    </w:p>
    <w:p>
      <w:r>
        <w:t>4. [Yalnız somut aciliyet varsa] karşı taraf dinlenmeden karar verilmesine,</w:t>
      </w:r>
    </w:p>
    <w:p>
      <w:r>
        <w:t>karar verilmesini talep ederim.</w:t>
      </w:r>
    </w:p>
    <w:p>
      <w:pPr>
        <w:keepNext/>
      </w:pPr>
      <w:r>
        <w:t>[Tarih]</w:t>
      </w:r>
    </w:p>
    <w:p>
      <w:pPr>
        <w:keepNext/>
      </w:pPr>
      <w:r>
        <w:t>Tedbir talep eden [Ad soyad / yetkili temsilci]</w:t>
      </w:r>
    </w:p>
    <w:p>
      <w:r>
        <w:t>[İmza]</w:t>
      </w:r>
    </w:p>
    <w:p>
      <w:r>
        <w:t>EKLER: [Numaralı belge listesi]</w:t>
      </w:r>
    </w:p>
    <w:p>
      <w:pPr>
        <w:pageBreakBefore/>
      </w:pPr>
      <w:r>
        <w:rPr>
          <w:b/>
        </w:rPr>
        <w:t>HAZIRLIK NOTLARI — DİLEKÇEYE EKLENMEZ</w:t>
      </w:r>
    </w:p>
    <w:p>
      <w:r>
        <w:rPr>
          <w:b/>
        </w:rPr>
        <w:t xml:space="preserve">Örneğin kapsamı: </w:t>
      </w:r>
      <w:r>
        <w:t>Bu form uyuşmazlık konusu taşınmazın veya payın üçüncü kişilere devrinin önlenmesi içindir. Para alacağını güvenceye alma, ihtiyati haciz, ziynet veya başka bir tedbir için talebi yeniden kurun. Mahkeme ve esas numarasını gerçek dosyaya göre yazın.</w:t>
      </w:r>
    </w:p>
    <w:p>
      <w:r>
        <w:rPr>
          <w:b/>
        </w:rPr>
        <w:t xml:space="preserve">Hak ve yakın tehlike: </w:t>
      </w:r>
      <w:r>
        <w:t>Korunan hakkı, taşınmazın açık sicil bilgilerini ve yakın devir tehlikesini tarihli kayıtlarla açıklayın. Her belgeyi desteklediği olguya bağlayın. Elinizde olmayan belgeyi ektedir diye yazmayın; celbi gereken kaydı ayrıca tanımlayın.</w:t>
      </w:r>
    </w:p>
    <w:p>
      <w:r>
        <w:rPr>
          <w:b/>
        </w:rPr>
        <w:t xml:space="preserve">Teminat: </w:t>
      </w:r>
      <w:r>
        <w:t>Teminat kuraldır. Resmî belge, kesin delil veya durum ve koşullara dayalı istisnanın nedenini somut açıklayın. Adli yardım kararınız varsa belirtin; talebin kendiliğinden teminatsız kabul edileceğini varsaymayın.</w:t>
      </w:r>
    </w:p>
    <w:p>
      <w:r>
        <w:rPr>
          <w:b/>
        </w:rPr>
        <w:t xml:space="preserve">Karardan sonraki işlemler: </w:t>
      </w:r>
      <w:r>
        <w:t>HMK 393 uyarınca tefhim veya tebliğden başlayarak bir hafta içinde uygulama talebini kayda alın. Dava öncesi tedbirde HMK 397 uyarınca uygulamanın talep edildiği tarihten itibaren iki hafta içinde esas davayı açın; dava evrakını uygulayan memura sunup dosyaya koydurun ve belge alın. İşlemlerin kayıtlarını saklayın.</w:t>
      </w:r>
    </w:p>
    <w:p>
      <w:r>
        <w:rPr>
          <w:b/>
        </w:rPr>
        <w:t xml:space="preserve">Arabuluculuk ve teslim: </w:t>
      </w:r>
      <w:r>
        <w:t>Dava şartı arabuluculukta HUAK 18/A-16 kapsamında büro başvurusu ile son tutanak arasındaki dönemin HMK 397 süresine etkisini hesaplayın. HMK 393 uygulama süresinin otomatik durduğunu varsaymayın. Bu sayfayı başvuruya eklemeyin; gerçek imza ve ekler tamamlandıktan sonra yetkili kanaldan sunun.</w:t>
      </w:r>
    </w:p>
    <w:p>
      <w:r>
        <w:t>Belge hazırlama ve resmî kaynak karşılaştırması: 8 Ekim 2026</w:t>
      </w:r>
    </w:p>
    <w:p>
      <w:r>
        <w:rPr>
          <w:sz w:val="20"/>
        </w:rPr>
        <w:t>Güncel HMK, 389–399</w:t>
        <w:br/>
        <w:t>https://mevzuat.adalet.gov.tr/mevzuat/103103</w:t>
      </w:r>
    </w:p>
    <w:p>
      <w:r>
        <w:rPr>
          <w:sz w:val="20"/>
        </w:rPr>
        <w:t>Güncel 6325 sayılı Kanun, 18/A-16</w:t>
        <w:br/>
        <w:t>https://mevzuat.adalet.gov.tr/mevzuat/104320</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İhtiyati Tedbir Talep Dilekçesi</dc:title>
  <dc:subject>Taşınmazın devrinin önlenmesi örneği ve ayrı hazırlık notları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