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Kaptanın yetki kullanmasının yasaklanması</w:t>
      </w:r>
    </w:p>
    <w:p>
      <w:pPr>
        <w:pStyle w:val="Subtitle"/>
      </w:pPr>
      <w:r>
        <w:rPr>
          <w:color w:val="000000"/>
        </w:rPr>
        <w:t>Feshi bildirim süresinde ayrı bildirim • TTK 1107</w:t>
      </w:r>
    </w:p>
    <w:p>
      <w:r>
        <w:rPr>
          <w:color w:val="000000"/>
        </w:rPr>
        <w:t>[İLGİLİ GERÇEK KAPTANIN ADI SOYADI]’NA</w:t>
      </w:r>
    </w:p>
    <w:p>
      <w:r>
        <w:rPr>
          <w:color w:val="000000"/>
        </w:rPr>
        <w:t>BİLDİREN DONATAN: [Gerçek ad / unvan ve adres]</w:t>
        <w:br/>
        <w:t>YETKİLİ: [Gerçek imza yetkilisi ve dayanak]</w:t>
        <w:br/>
        <w:t>GEMİ / SÖZLEŞME: [Gerçek kimlik ve sözleşme]</w:t>
        <w:br/>
        <w:t>KONU: TTK m.1107 uyarınca feshi bildirim süresi içinde kaptan temsil yetkilerinizin kullanılmasının yasaklanması bildirimidir.</w:t>
      </w:r>
    </w:p>
    <w:p>
      <w:r>
        <w:rPr>
          <w:color w:val="000000"/>
        </w:rPr>
        <w:t>1. Taraflar arasındaki [gerçek sözleşme] hakkında fesih bildirimi [gerçek belge ve düzenleme tarihi] ile yapılmış; bildirim [gerçek ulaşma kaydı] kapsamında tarafınıza ulaşmıştır. İlgili bildirim süresi [gerçek başlangıç, son ve dayanak] olarak ek çizelgede gösterilmiştir.</w:t>
      </w:r>
    </w:p>
    <w:p>
      <w:r>
        <w:rPr>
          <w:color w:val="000000"/>
        </w:rPr>
        <w:t>2. TTK m.1107 uyarınca, belirtilen gemi ve sözleşme bakımından kaptan sıfatınızla donatanı temsil eden yetkilerinizi ilgili feshi bildirim süresi içinde kullanmanızı yasaklıyorum. Bu ayrı bildirimin gerçek ulaşma kaydı dosyada ayrıca tutulacaktır; geriye dönük bildirim yapılmış beyanı değildir.</w:t>
      </w:r>
    </w:p>
    <w:p>
      <w:r>
        <w:rPr>
          <w:color w:val="000000"/>
        </w:rPr>
        <w:t>3. Bu yazı önceki fesih işleminin, üçüncü kişilerle kurulmuş bütün işlemlerin sonuçlarının veya fiilî görev devrinin yerine geçmez. Kaptanın kanuni özen ve güvenlik görevleri bu bildirimle yok sayılmış değildir. Mevcut görev düzeni varsa kendi gerçek kaydında gösterilmiştir.</w:t>
      </w:r>
    </w:p>
    <w:p>
      <w:r>
        <w:rPr>
          <w:color w:val="000000"/>
        </w:rPr>
        <w:t>BİLDİRİM SONUCU: Yukarıda belirtilen kaptan temsil yetkilerini kullanma yasağını TTK m.1107 kapsamında bilgilerinize bildiririm. Belirli dış işlemler ve üçüncü kişi bilgi kayıtları ayrı değerlendirilecektir.</w:t>
      </w:r>
    </w:p>
    <w:p>
      <w:r>
        <w:rPr>
          <w:b/>
          <w:color w:val="000000"/>
        </w:rPr>
        <w:t>EKLER:</w:t>
      </w:r>
      <w:r>
        <w:rPr>
          <w:color w:val="000000"/>
        </w:rPr>
        <w:t xml:space="preserve"> [Gerçek sözleşme]; [önceki fesih bildirimi]; [gerçek ulaşma kaydı]; [bildirim süresi ve dayanak çizelgesi]; [imza yetkisi]. Yalnız mevcut belgeler eklenir.</w:t>
      </w:r>
    </w:p>
    <w:p>
      <w:r>
        <w:rPr>
          <w:color w:val="000000"/>
        </w:rPr>
        <w:t>Tarih: [Gerçek gönderim tarihi]</w:t>
        <w:br/>
        <w:t>Bildiren Donatan / Yetkili</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Taraflar</w:t>
      </w:r>
    </w:p>
    <w:p>
      <w:r>
        <w:rPr>
          <w:color w:val="000000"/>
        </w:rPr>
        <w:t>Donatan, kaptan, gemi ve sözleşmenin gerçek bağlantısını belirleyin. Tüzel kişi imza yetkisini kontrol edin.</w:t>
      </w:r>
    </w:p>
    <w:p>
      <w:pPr>
        <w:pStyle w:val="Heading2"/>
      </w:pPr>
      <w:r>
        <w:rPr>
          <w:color w:val="000000"/>
        </w:rPr>
        <w:t>Önceki bildirim</w:t>
      </w:r>
    </w:p>
    <w:p>
      <w:r>
        <w:rPr>
          <w:color w:val="000000"/>
        </w:rPr>
        <w:t>Gerçek fesih bildirimi ve ulaşma kaydını gösterin. Bu metin ilk fesih bildiriminin yerine geçmez.</w:t>
      </w:r>
    </w:p>
    <w:p>
      <w:pPr>
        <w:pStyle w:val="Heading2"/>
      </w:pPr>
      <w:r>
        <w:rPr>
          <w:color w:val="000000"/>
        </w:rPr>
        <w:t>Süre</w:t>
      </w:r>
    </w:p>
    <w:p>
      <w:r>
        <w:rPr>
          <w:color w:val="000000"/>
        </w:rPr>
        <w:t>Devam eden gerçek bildirim süresini dayanağıyla yazın; TTK 1107 için sabit gün sayısı üretmeyin.</w:t>
      </w:r>
    </w:p>
    <w:p>
      <w:pPr>
        <w:pStyle w:val="Heading2"/>
      </w:pPr>
      <w:r>
        <w:rPr>
          <w:color w:val="000000"/>
        </w:rPr>
        <w:t>Yasak</w:t>
      </w:r>
    </w:p>
    <w:p>
      <w:r>
        <w:rPr>
          <w:color w:val="000000"/>
        </w:rPr>
        <w:t>Açık yetki kullanma yasağını belirli gemi ve sözleşmeyle eşleştirin. Geriye dönük olay anlatımı kullanmayın.</w:t>
      </w:r>
    </w:p>
    <w:p>
      <w:pPr>
        <w:pStyle w:val="Heading2"/>
      </w:pPr>
      <w:r>
        <w:rPr>
          <w:color w:val="000000"/>
        </w:rPr>
        <w:t>Dış işlemler</w:t>
      </w:r>
    </w:p>
    <w:p>
      <w:r>
        <w:rPr>
          <w:color w:val="000000"/>
        </w:rPr>
        <w:t>Kaptana ulaşma ile üçüncü kişinin bilgisi farklıdır. Belirli işlemler ve diğer yetki belgeleri ayrı incelenir.</w:t>
      </w:r>
    </w:p>
    <w:p>
      <w:pPr>
        <w:pStyle w:val="Heading2"/>
      </w:pPr>
      <w:r>
        <w:rPr>
          <w:color w:val="000000"/>
        </w:rPr>
        <w:t>Görev</w:t>
      </w:r>
    </w:p>
    <w:p>
      <w:r>
        <w:rPr>
          <w:color w:val="000000"/>
        </w:rPr>
        <w:t>Kanuni özen ve güvenlik görevlerini yok sayan emir yazmayın. Fiilî görev devri kendi belgesine dayanır.</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