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Kılavuz ve Römorkaj Gideri Talebine İtiraz</w:t>
      </w:r>
    </w:p>
    <w:p>
      <w:pPr>
        <w:widowControl/>
      </w:pPr>
      <w:r>
        <w:t>[TAŞIYANIN GERÇEK UNVANI VE BİLDİRİM ADRESİ]’NE</w:t>
      </w:r>
    </w:p>
    <w:p>
      <w:pPr>
        <w:widowControl/>
      </w:pPr>
      <w:r>
        <w:t>BAŞVURAN TAŞITAN: [Gerçek unvan, adres ve yetkili kişi]</w:t>
        <w:br/>
        <w:t>TEMSİLCİ: [Varsa gerçek yetki ve iletişim bilgisi]</w:t>
        <w:br/>
        <w:t>NAVLUN SÖZLEŞMESİ / GEMİ: [Gerçek tarih-numara, gemi ve sefer bilgisi]</w:t>
        <w:br/>
        <w:t>İTİRAZ EDİLEN TALEP: [Gerçek fatura/talep tarihi ve numarası, gider kalemi, tutar ve para birimi]</w:t>
        <w:br/>
        <w:t>KONU: TTK m.1196/2 uyarınca aksine sözleşme bulunmayan kılavuz ve römorkaj giderlerinin tarafımıza yüklenmesine itiraz.</w:t>
      </w:r>
    </w:p>
    <w:p>
      <w:pPr>
        <w:widowControl/>
      </w:pPr>
      <w:r>
        <w:t>1. İlgili navlun sözleşmesinin taşıtanı olarak, [gerçek talep belgesi] ile tarafımıza yöneltilen giderleri inceledik. İtiraz edilen [gerçek kılavuz gideri ve tutarı] ile [varsa gerçek römorkaj gideri ve tutarı] ekli cetvelde ayrı gösterilmiştir. Talebin ilgili gemi, sefer ve hizmet kayıtları ekte sunulmuştur.</w:t>
      </w:r>
    </w:p>
    <w:p>
      <w:pPr>
        <w:widowControl/>
      </w:pPr>
      <w:r>
        <w:t>2. TTK m.1196/2, aksine sözleşme yoksa gemiciliğin olağan ve olağanüstü giderlerini, özellikle kılavuz ve römorkaj hizmetlerinin resim ve ücretlerini taşıyana yükler. Ekli gerçek sözleşme ve ilgili eklerde, itiraz edilen bu kalemleri tarafımıza yükleyen aksine düzenleme bulunmamaktadır. İncelenen belge kapsamı [gerçek sözleşme/ek bilgisi] şeklindedir.</w:t>
      </w:r>
    </w:p>
    <w:p>
      <w:pPr>
        <w:widowControl/>
      </w:pPr>
      <w:r>
        <w:t>3. İtiraz edilen kalemlerin gerçek hizmet niteliği [somut olağan gemicilik hizmeti ve kayıt] ile açıklanmaktadır. TTK m.1196/3 kapsamındaki müşterek avarya, eşyanın korunması, emniyet altına alınması veya kurtarılması giderleri bu itirazın kanuni başlangıç kuralına dahil edilmemiştir. Aksi nitelik ileri sürülüyorsa ilgili olay, kalem ve belge ayrı açıklanmalıdır.</w:t>
      </w:r>
    </w:p>
    <w:p>
      <w:pPr>
        <w:widowControl/>
      </w:pPr>
      <w:r>
        <w:t>4. İtirazımız ekli cetvelde belirtilen gerçek gider kalemleriyle sınırlıdır. Asıl navlun ve bu itiraz dışında kalan bağımsız alacaklar hakkında bütün borçların ortadan kalktığı ileri sürülmemektedir. Mevcut ödeme/düzeltme kayıtları [gerçek bilgi; yoksa uygulanmayan alan çıkarılır] şeklindedir.</w:t>
      </w:r>
    </w:p>
    <w:p>
      <w:pPr>
        <w:widowControl/>
      </w:pPr>
      <w:r>
        <w:rPr>
          <w:b/>
        </w:rPr>
        <w:t>SONUÇ VE İSTEM: TTK m.1196/2 ve ekli gerçek navlun sözleşmesi kapsamında, cetveldeki kılavuz ve römorkaj giderlerinin tarafımıza yüklenmesine itiraz ediyoruz. Bu kalemlerin başvuran hesabından çıkarılmasını, gerçek talep/fatura ve hesap kaydının düzeltilmesini; aksine sözleşme veya m.1196/3 istisnası ileri sürülecekse gerçek hüküm, olay, gider dökümü ve dayanak belgelerin yazılı bildirilmesini talep ederiz.</w:t>
      </w:r>
    </w:p>
    <w:p>
      <w:pPr>
        <w:widowControl/>
      </w:pPr>
      <w:r>
        <w:t>EKLER: [Gerçek sözleşme ve ilgili ekler, talep/fatura, hizmet ve gemi-sefer kayıtları, kalem cetveli, mevcut ödeme ve düzeltme belgeleri, temsil yetkisi]</w:t>
        <w:br/>
        <w:t>TARİH: [Gerçek gönderim tarihi]</w:t>
        <w:br/>
        <w:t>TAŞITAN / YETKİLİ TEMSİLCİ: [Gerçek ad ve sıfat]</w:t>
        <w:br/>
        <w:t>İMZA: [Gerçek imza]</w:t>
      </w:r>
    </w:p>
    <w:p>
      <w:r>
        <w:br w:type="page"/>
      </w:r>
    </w:p>
    <w:p>
      <w:pPr>
        <w:pStyle w:val="Heading1"/>
      </w:pPr>
      <w:r>
        <w:t>Dosyaya Uyarlama ve Gider Kontrolü</w:t>
      </w:r>
    </w:p>
    <w:p>
      <w:r>
        <w:rPr>
          <w:b/>
        </w:rPr>
        <w:t xml:space="preserve">1. İlişki ve taraf: </w:t>
      </w:r>
      <w:r>
        <w:t>Örnek Türk hukukunun uygulandığı navlun sözleşmesinde taşıtana yöneltilen gider itirazıdır. Gemi kirası, zaman çarteri ve römorkör/terminal ile ayrı sözleşmeyi aynı ilişki saymayın. Gerçek taşıtan ve temsil yetkisini gösterin.</w:t>
      </w:r>
    </w:p>
    <w:p>
      <w:r>
        <w:rPr>
          <w:b/>
        </w:rPr>
        <w:t xml:space="preserve">2. Aksine sözleşme: </w:t>
      </w:r>
      <w:r>
        <w:t>TTK m.1196/2 aksine sözleşme yoksa uygulanır. Gerçek sözleşme, kabul edilmiş ek ve değişiklikleri okuyun. Gider paylaşımını değiştiren gerçek hükmü saklamayın; eksik ilk sayfadan bütün sözleşmede kayıt yok sonucu çıkarmayın.</w:t>
      </w:r>
    </w:p>
    <w:p>
      <w:r>
        <w:rPr>
          <w:b/>
        </w:rPr>
        <w:t xml:space="preserve">3. Gerçek gider: </w:t>
      </w:r>
      <w:r>
        <w:t>Kılavuz ve römorkajı gemi, sefer, hizmet zamanı ve belgeyle eşleştirin. Her tutar ve para birimi ayrı yazılır. Hizmet bedelinin doğması ile taşıtana aktarılmasının dayanağı farklı sorulardır. Doğrulanmamış tarife üretmeyin.</w:t>
      </w:r>
    </w:p>
    <w:p>
      <w:r>
        <w:rPr>
          <w:b/>
        </w:rPr>
        <w:t xml:space="preserve">4. İstisnalar: </w:t>
      </w:r>
      <w:r>
        <w:t>TTK m.1196/3 müşterek avarya, eşyanın korunması, emniyet altına alınması ve kurtarılması giderlerini ikinci fıkranın dışında tutar. Gerçek hizmet bu kapsama giriyorsa yalnız fatura başlığıyla taşıyanın olağan gideri saymayın.</w:t>
      </w:r>
    </w:p>
    <w:p>
      <w:r>
        <w:rPr>
          <w:b/>
        </w:rPr>
        <w:t xml:space="preserve">5. Kısmi itiraz: </w:t>
      </w:r>
      <w:r>
        <w:t>Asıl navlun ve bağımsız diğer borçlar otomatik silinmez. İtiraz cetvelindeki kalemler, sonuç toplamı ve gerçek ödemeler eşleşir. Ödenmemiş talebe itiraz ile gerçek ödemenin geri istenmesi ayrı değerlendirilir.</w:t>
      </w:r>
    </w:p>
    <w:p>
      <w:r>
        <w:rPr>
          <w:b/>
        </w:rPr>
        <w:t xml:space="preserve">6. Başvuru ve adli süreç: </w:t>
      </w:r>
      <w:r>
        <w:t>Bu metin taşıyana ticari başvurudur. Gerçek dava veya icra tebligatı varsa ilgili usul işlemleri ayrıca yapılır. Başvurunun gönderilmesini bütün adli süreleri koruyan işlem gibi sunmayın. Son nüsha, ek ve ulaşma kayıtlarını saklayın.</w:t>
      </w:r>
    </w:p>
    <w:p>
      <w:r>
        <w:rPr>
          <w:b/>
        </w:rPr>
        <w:t xml:space="preserve">7. Gerçek tarih ve imza: </w:t>
      </w:r>
      <w:r>
        <w:t>Gerçek gönderim günü ve yetkili kişinin gerçek imzası kullanılır. Güvenli elektronik imza fiilen uygulanmadan e-imzalıdır yazılmaz. Boş alanlar, kullanılmayan seçenekler ve hazırlık sayfası sunulan nüshadan çıkarılır.</w:t>
      </w:r>
    </w:p>
    <w:p>
      <w:r>
        <w:t>Genel ve düzenlenebilir örnek. Doğrudan dayanak TTK m.1196/2; istisnalar m.1196/3, farklı navlun dışı talep m.1196/1. Güncel resmî metin 9 Ekim 2026 tarihinde incelendi. Yazar: Av. Halil Bakırcı, Mersin Barosu 3472. Gerçek sözleşme, hizmet, gider ve istisnalar birlikte kontrol edilir; iade, teslim veya uyuşmazlık sonucu garantisi verilmez.</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Kılavuz ve Römorkaj Gideri Talebine İtiraz</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