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SULH HUKUK MAHKEMESİNE</w:t>
      </w:r>
    </w:p>
    <w:p>
      <w:r>
        <w:t>DAVACI KİRAYA VEREN(ler): [Ad soyad/unvan, gerekli kimlik bilgileri ve adres]</w:t>
      </w:r>
    </w:p>
    <w:p>
      <w:r>
        <w:t>VEKİLİ (VARSA): [Gerçek vekilin adı soyadı ve adresi; yoksa çıkarın]</w:t>
      </w:r>
    </w:p>
    <w:p>
      <w:r>
        <w:t>DAVALI KİRACI(lar): [Ad soyad/unvan ve adres]</w:t>
      </w:r>
    </w:p>
    <w:p>
      <w:r>
        <w:t>KİRALANAN: [Tam adres, bağımsız bölüm, konut/çatılı işyeri ve özellikler]</w:t>
      </w:r>
    </w:p>
    <w:p>
      <w:r>
        <w:t>İSTENEN DÖNEM: [Başlangıç] – [Bitiş]; MEVCUT AYLIK KİRA: [TL; net/brüt açıklaması]</w:t>
      </w:r>
    </w:p>
    <w:p>
      <w:r>
        <w:t>İSTENEN AYLIK KİRA: [Tam TL tutarı; net/brüt, varsa vergi ve yan gider açıklaması]</w:t>
      </w:r>
    </w:p>
    <w:p>
      <w:r>
        <w:t>HARCA ESAS DEĞER: [Aynı esasta istenen aylık kira – mevcut aylık kira = fark TL]</w:t>
      </w:r>
    </w:p>
    <w:p>
      <w:r>
        <w:t>KONU: TBK m.344/3 ve 345 uyarınca belirtilen dönemin başlangıcından itibaren aylık kira bedelinin yukarıda gösterilen tam tutar olarak tespiti talebidir.</w:t>
      </w:r>
    </w:p>
    <w:p>
      <w:pPr>
        <w:keepNext/>
      </w:pPr>
      <w:r>
        <w:rPr>
          <w:b/>
        </w:rPr>
        <w:t>AÇIKLAMALAR</w:t>
      </w:r>
    </w:p>
    <w:p>
      <w:r>
        <w:t>1. Davalı, [gerçek başlangıç tarihi ve süre] kira sözleşmesiyle kiralananı kullanmaktadır. Davacıların kiraya veren sıfatı [sözleşme ve varsa sonraki sıfat/temsil kayıtları] ile sabittir. Sözleşme ve değişiklikleri ektedir. Önceki dönem aylık kira [tutar ve net/brüt esası], ödeme kaydı [tarih ve belge]dir.</w:t>
      </w:r>
    </w:p>
    <w:p>
      <w:r>
        <w:t>2. Beş yıllık süre [başlangıç] – [tamamlanma] arasında dolmuştur. Tespiti istenen yeni kira dönemi [başlangıç/bitiş]tir. [Varsa sonradan anlaşma, yeni sözleşme veya önceki tespit: tarih, içerik ve süre hesabına etkisi] açıklanmıştır. İstenen dönem TBK m.344/3 değerlendirmesine uygundur.</w:t>
      </w:r>
    </w:p>
    <w:p>
      <w:r>
        <w:t>3. TBK m.345 bakımından dayanak [uygun tek seçeneği bırakın]: (A) Sözleşmenin [madde] hükmünde yeni dönemde kira artışı kararlaştırılmış olup dava bu dönemin bitiminden önce açılmaktadır. (B) Artış bildirimi kiracıya [yeni dönemden en az 30 gün önce ulaşma tarihi/belgesi] ile yapılmış olup dava bu dönemin bitiminden önce açılmaktadır. (C) Dava yeni dönemden en az 30 gün önce açılmaktadır. İstenen başlangıcın dayanağı ve takvim ektedir.</w:t>
      </w:r>
    </w:p>
    <w:p>
      <w:r>
        <w:t>4. Kiralananın [alan, konum, bina yaşı, kat, kullanım, donanım ve fiilî durum] özellikleri ile emsallerin [sözleşme/dönem, gerçek kira, alan ve benzerlik-farklar] bilgileri sunulmuştur. TÜFE on iki aylık ortalama değişimi, kiralananın durumu ve gerçek emsaller birlikte değerlendirilmelidir. Keşif ve uzman bilirkişiyle boş olarak yeniden kiraya verilme bedeli belirlenerek eski kiracılık yönünden hakkaniyet gözetilmesi talep edilmektedir.</w:t>
      </w:r>
    </w:p>
    <w:p>
      <w:r>
        <w:t>5. Talep aylık [tam tutar] TL [net/brüt ve kapsam]dır; mevcut bedel ve emsaller aynı esasla karşılaştırılmıştır. Stopaj/KDV/aidat durumu [somut açıklama]dır. Genel “şimdilik” veya rapora göre sonradan artırılacak bedel istenmemektedir. Bu dava kira farkının tahsili veya tahliye talebi içermemektedir.</w:t>
      </w:r>
    </w:p>
    <w:p>
      <w:r>
        <w:t>6. [Büro/dosya numarası ve başvuru tarihi] arabuluculuk tamamlanmış; [tarih] son tutanağıyla anlaşma sağlanamamıştır. Gerçek tarafları ve kira tespiti uyuşmazlığını kapsayan son tutanak ektedir. Yetki dayanağı [HMK 6/10 kapsamında somut yer ve gerekçe]dir.</w:t>
      </w:r>
    </w:p>
    <w:p>
      <w:pPr>
        <w:keepNext/>
      </w:pPr>
      <w:r>
        <w:rPr>
          <w:b/>
        </w:rPr>
        <w:t>HUKUKİ NEDENLER</w:t>
      </w:r>
    </w:p>
    <w:p>
      <w:r>
        <w:t>TBK m.344–345; HMK m.4, 6, 10, 26, 119, 190, 194, 266, 288, 316–318; 6325 sayılı Kanun m.18/A–18/B ve ilgili hükümler.</w:t>
      </w:r>
    </w:p>
    <w:p>
      <w:pPr>
        <w:keepNext/>
      </w:pPr>
      <w:r>
        <w:rPr>
          <w:b/>
        </w:rPr>
        <w:t>DELİLLER VE EKLER</w:t>
      </w:r>
    </w:p>
    <w:p>
      <w:r>
        <w:t>Ek-1: Kira sözleşmesi, değişiklikleri ve sıfat/temsil kayıtları; Ek-2: Mevcut kira ve banka kayıtları; Ek-3: Dönem ve beş yıl hesabı; Ek-4: [Dayanılıyorsa artış bildirimi ve ulaşma kaydı]; Ek-5: Gerçek emsal sözleşmeler ve karşılaştırma; Ek-6: Son arabuluculuk tutanağı. Keşif ve uzman bilirkişi. Celp: [Kurum, belge/dönem ve ispat konusu].</w:t>
      </w:r>
    </w:p>
    <w:p>
      <w:pPr>
        <w:keepNext/>
      </w:pPr>
      <w:r>
        <w:rPr>
          <w:b/>
        </w:rPr>
        <w:t>SONUÇ VE İSTEM</w:t>
      </w:r>
    </w:p>
    <w:p>
      <w:r>
        <w:t>Kiralananın [dönem başlangıcı] tarihinden itibaren aylık kira bedelinin [tam tutar] TL [net/brüt ve kapsam] olarak tespitine; yargılama giderleri ile varsa vekâlet ücretinin davalıya yükletilmesine karar verilmesini talep ederim.</w:t>
      </w:r>
    </w:p>
    <w:p>
      <w:r>
        <w:t>[Tarih] — Davacı(lar) / varsa gerçek vekili [Ad soyad ve imza]</w:t>
      </w:r>
    </w:p>
    <w:p>
      <w:pPr>
        <w:pageBreakBefore/>
      </w:pPr>
      <w:r>
        <w:rPr>
          <w:b/>
        </w:rPr>
        <w:t>HAZIRLIK NOTLARI — DİLEKÇEYE EKLENMEZ</w:t>
      </w:r>
    </w:p>
    <w:p>
      <w:r>
        <w:rPr>
          <w:b/>
        </w:rPr>
        <w:t xml:space="preserve">Kapsam: </w:t>
      </w:r>
      <w:r>
        <w:t>Bu form, TL ile aylık ödenen konut/çatılı işyeri kirasında kiraya verenin beş yıl sonrası TBK 344/3 tespit istemi içindir. İlk beş yılın endeks hesabı, kiracının indirim istemi, dövizli kira, ürün kirası veya TBK 138 uyarlaması aynı form değildir. Beş yıl dolmadan da kira belirleme davası mümkün olabilir; ancak 344/3 rayiç rejimi otomatik uygulanmaz.</w:t>
      </w:r>
    </w:p>
    <w:p>
      <w:r>
        <w:rPr>
          <w:b/>
        </w:rPr>
        <w:t xml:space="preserve">Dönem ve beş yıl: </w:t>
      </w:r>
      <w:r>
        <w:t>Gerçek sözleşme başlangıcını, her kira yılını, beş yılın bitişini ve tespit istenen dönemi yazın. Kira yılı takvim yılı değildir. Sonradan imzalanan belgeyi, bedel anlaşmasını ve önceki tespit kararını okuyun; süreyi yalnız son kâğıdın tarihiyle otomatik yeniden başlatmayın. Sadece malikin değişmesi önceki kira başlangıcını kendiliğinden değiştirmez.</w:t>
      </w:r>
    </w:p>
    <w:p>
      <w:r>
        <w:rPr>
          <w:b/>
        </w:rPr>
        <w:t xml:space="preserve">Otuz gün ve artış şartı: </w:t>
      </w:r>
      <w:r>
        <w:t>345/2 ile 345/3 farklı seçeneklerdir. Yeni dönemde artış hükmü varsa dönemin sonuna kadar açılan davada başlangıca etki mümkündür. Yoksa en az 30 gün önceden dava veya kiracıya ulaşmış yazılı artış bildirimi ve dönem sonuna kadar dava koşullarını kontrol edin. Her eksik ihtar davanın reddi demek değildir; istenen başlangıca etkisi ayrı incelenir.</w:t>
      </w:r>
    </w:p>
    <w:p>
      <w:r>
        <w:rPr>
          <w:b/>
        </w:rPr>
        <w:t xml:space="preserve">Arabuluculuk takvimi: </w:t>
      </w:r>
      <w:r>
        <w:t>Kira tespiti için davadan önce arabuluculuğu tamamlayıp son tutanağı ekleyin. Başvuru dava açılması değildir; davet yazısını da otomatik 345 artış bildirimi saymayın. Sözleşmede artış şartı yoksa yeni döneme etkiyi zamanında ayrı yazılı bildirimle koruyun ve arabuluculuğu dava takvimiyle planlayın. 18/A süre etkisini, 345 koşullarını görmeden otomatik yeni 30 gün diye hesaplamayın.</w:t>
      </w:r>
    </w:p>
    <w:p>
      <w:r>
        <w:rPr>
          <w:b/>
        </w:rPr>
        <w:t xml:space="preserve">Tam tutar ve net/brüt: </w:t>
      </w:r>
      <w:r>
        <w:t>İstenen ve mevcut aylık bedeller aynı esasta yazılır; uygulanıyorsa stopaj/KDV ile aidat ve yan gider ayrı açıklanır. Sabit vergi oranı varsaymayın. Bilirkişi ne belirlerse onu istemek veya fazlaya ilişkin hak saklayıp bedeli sonra artırmak üzerine dava kurmayın. Kira tespitindeki talebin bölünmezliği, para alacağı davasından farklıdır.</w:t>
      </w:r>
    </w:p>
    <w:p>
      <w:r>
        <w:rPr>
          <w:b/>
        </w:rPr>
        <w:t xml:space="preserve">Emsal ve hakkaniyet: </w:t>
      </w:r>
      <w:r>
        <w:t>Hedef dönemde gerçekten kiralanmış benzer taşınmazların sözleşme ve bedellerini sunun. İlan bedeli gerçekleşmiş kira değildir. Alan, kullanım, konum, yaş, donanım, tarih ve kira kapsamını karşılaştırın. Boş kiraya verilme rayici ile eski kiracılık yönünden hakkaniyet birlikte incelenir; her dosyada zorunlu sabit indirim yüzdesi yazmayın.</w:t>
      </w:r>
    </w:p>
    <w:p>
      <w:r>
        <w:rPr>
          <w:b/>
        </w:rPr>
        <w:t xml:space="preserve">Harç, istem ve sonuç: </w:t>
      </w:r>
      <w:r>
        <w:t>Aylık tespitte istenen aylık bedelle mevcut aylık bedel arasındaki fark hesabını açık gösterin. Karar ve ilam harcı, hükmedilen aylık bedel ile önceki aylık bedelin farkı üzerinden ele alınır; tahliyenin bir yıllık bedeli veya vekâlet ücretinin hesabı otomatik kopyalanmaz. Tespit, kira farkı için kendiliğinden tahsil hükmü değildir; kesinleşme, tahsil yolu ve varsa faiz ayrı değerlendirilir.</w:t>
      </w:r>
    </w:p>
    <w:p>
      <w:r>
        <w:rPr>
          <w:b/>
        </w:rPr>
        <w:t xml:space="preserve">Sunum: </w:t>
      </w:r>
      <w:r>
        <w:t>Gerçek ek numaraları ve sıfat kayıtlarıyla, kullanılmayan seçenekler çıkarılarak sunulur. Kiracı indirim istiyorsa taraflar ve olgular yeniden kurulmalıdır. Vekil yoksa vekil satırını silin. Hazırlık sayfasını ayırın; UYAP/fiziki mahkeme sunumunda teslim kaydını saklayın.</w:t>
      </w:r>
    </w:p>
    <w:p>
      <w:r>
        <w:t>Belge ve resmî kaynak karşılaştırması: 8 Ekim 2026</w:t>
      </w:r>
    </w:p>
    <w:p>
      <w:r>
        <w:rPr>
          <w:sz w:val="18"/>
        </w:rPr>
        <w:t>TBK 344–345: https://mevzuat.adalet.gov.tr/mevzuat/103273</w:t>
      </w:r>
    </w:p>
    <w:p>
      <w:r>
        <w:rPr>
          <w:sz w:val="18"/>
        </w:rPr>
        <w:t>3. HD 2024/970 E., 2024/3821 K., 25.11.2024: aylık fark üzerinden harç</w:t>
      </w:r>
    </w:p>
    <w:p>
      <w:r>
        <w:rPr>
          <w:sz w:val="18"/>
        </w:rPr>
        <w:t>https://mevzuat.adalet.gov.tr/ictihat/1107774300</w:t>
      </w:r>
    </w:p>
    <w:p>
      <w:r>
        <w:rPr>
          <w:sz w:val="18"/>
        </w:rPr>
        <w:t>HMK: https://mevzuat.adalet.gov.tr/mevzuat/103103</w:t>
      </w:r>
    </w:p>
    <w:p>
      <w:r>
        <w:rPr>
          <w:sz w:val="18"/>
        </w:rPr>
        <w:t>Arabuluculuk: https://mevzuat.adalet.gov.tr/mevzuat/104320</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Kira Bedelinin Tespiti Dava Dilekçesi</dc:title>
  <dc:subject>TBK 344/3 ve 345: dönem, tam tutar, artış şartı, emsal ve arabuluculuk</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