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pPr>
      <w:r>
        <w:rPr>
          <w:b/>
        </w:rPr>
        <w:t>[YETKİLİ YER] SULH HUKUK MAHKEMESİNE</w:t>
      </w:r>
    </w:p>
    <w:p>
      <w:r>
        <w:t>DAVACI KİRAYA VEREN(lar): [Ad soyad/unvan, gerekli kimlik bilgileri ve adres]</w:t>
      </w:r>
    </w:p>
    <w:p>
      <w:r>
        <w:t>VEKİLİ (VARSA): [Gerçek vekilin adı soyadı ve adresi; yoksa çıkarın]</w:t>
      </w:r>
    </w:p>
    <w:p>
      <w:r>
        <w:t>DAVALI KİRACI(lar): [Ad soyad/unvan ve adres]</w:t>
      </w:r>
    </w:p>
    <w:p>
      <w:r>
        <w:t>KİRALANAN: [Tam adres, bağımsız bölüm ve gerçek kullanım]</w:t>
      </w:r>
    </w:p>
    <w:p>
      <w:r>
        <w:t>MEVCUT AYLIK KİRA: [TL; net/brüt esası, vergi/yan gider kapsamı]</w:t>
      </w:r>
    </w:p>
    <w:p>
      <w:r>
        <w:t>İSTENEN AYLIK KİRA: [Tam TL tutarı; aynı esas ve kapsam]</w:t>
      </w:r>
    </w:p>
    <w:p>
      <w:r>
        <w:t>HARCA ESAS DEĞER: [Uyarlama istemine göre hesap ve tutar; ayrı cetvel]</w:t>
      </w:r>
    </w:p>
    <w:p>
      <w:r>
        <w:t>KONU: TBK m.138 uyarınca kira sözleşmesindeki aylık bedelin dava tarihinden itibaren yukarıdaki tam tutara artırılarak uyarlanması talebidir.</w:t>
      </w:r>
    </w:p>
    <w:p>
      <w:pPr>
        <w:keepNext/>
      </w:pPr>
      <w:r>
        <w:rPr>
          <w:b/>
        </w:rPr>
        <w:t>AÇIKLAMALAR</w:t>
      </w:r>
    </w:p>
    <w:p>
      <w:r>
        <w:t>1. [Başlangıç tarihi ve süre] sözleşmesiyle kiralanan kullanılmaktadır. Davacı ve davalının sıfatı [sözleşme ve varsa devir/temsil kayıtları] ile sabittir. Başlangıçtaki aylık kira [tutar ve kapsam], bugünkü bedel [tutar]dır. Artış/risk/uyarlama hükümleri [madde ve gerçek içerik], sonraki değişiklikler [tarih ve içerik]tir.</w:t>
      </w:r>
    </w:p>
    <w:p>
      <w:r>
        <w:t>2. Sözleşmeden sonra [gerçek tarih] tarihinde [olağanüstü olay] ortaya çıkmıştır. Bu durumun sözleşme kurulurken öngörülememesi veya beklenmesinin gerekmemesi [somut neden], davacıdan kaynaklanmaması [olgu ve belge] ile açıklanmaktadır. İlgili resmî karar/kayıt [tarih, numara ve ek]tir.</w:t>
      </w:r>
    </w:p>
    <w:p>
      <w:r>
        <w:t>3. Olayın kiralanana ve karşılıklı edimlere etkisi [başlangıç ve dava tarihi karşılaştırması, tutarlar/dönemler]dir. Başlangıçtaki denge davacı aleyhine [somut ölçü ve neden] ile ağır biçimde bozulmuştur. Mevcut edimin aynı koşullarda istenmesi [somut neden] ile dürüstlük kuralına aykırı hale gelmiştir. Bu etkiler sıradan fiyat değişimi ve sözleşmeyle üstlenilmiş risklerden [gerekçe] ile ayrılmaktadır.</w:t>
      </w:r>
    </w:p>
    <w:p>
      <w:r>
        <w:t>4. Davacının dava konusu borç yönünden ifa durumu [ifa edilmemiş borç/dönem veya haklar saklı tutularak ifa edilmiş borç/dönem ve gerçek kayıt]tır. Ödemeler [tarih, tutar ve dekont] ile gösterilmiştir. Varsa hak saklı tutma bildirimi [metin, tarih, ulaşma kaydı ve ilgili dönem] ektedir; bulunmayan kayıt ileri sürülmemektedir.</w:t>
      </w:r>
    </w:p>
    <w:p>
      <w:r>
        <w:t>5. İstenen aylık bedel [tam tutar] TL [net/brüt ve kapsam]dır. Bu tutarın dengeyi yeniden kurma gerekçesi [hesap ve belgeler]dir. Sözleşmenin intibak/risk hükmünün neden yeterli olmadığı [somut açıklama]dır. Keşif ve uzman bilirkişiyle başlangıç/dava tarihindeki durum, olayın etkisi, öngörülebilirlik, mali veriler ve emsaller birlikte incelenmelidir; yalnız güncel rayiç hesabı istenmemektedir.</w:t>
      </w:r>
    </w:p>
    <w:p>
      <w:r>
        <w:t>6. [Büro/dosya ve başvuru tarihi] arabuluculuk tamamlanmış, [tarih] son tutanağıyla anlaşma sağlanamamıştır. Doğru taraf ve uyarlama uyuşmazlığına ait son tutanak ektedir. Yetki dayanağı [HMK 6/10 kapsamında somut yer/gerekçe veya geçerli yetki şartı]dır.</w:t>
      </w:r>
    </w:p>
    <w:p>
      <w:pPr>
        <w:keepNext/>
      </w:pPr>
      <w:r>
        <w:rPr>
          <w:b/>
        </w:rPr>
        <w:t>HUKUKİ NEDENLER</w:t>
      </w:r>
    </w:p>
    <w:p>
      <w:r>
        <w:t>TBK m.138; TMK m.2; HMK m.4, 6, 10, 26, 119, 190, 194, 266, 288, 316–318; 6325 sayılı Kanun m.18/A–18/B ve ilgili hükümler.</w:t>
      </w:r>
    </w:p>
    <w:p>
      <w:pPr>
        <w:keepNext/>
      </w:pPr>
      <w:r>
        <w:rPr>
          <w:b/>
        </w:rPr>
        <w:t>DELİLLER VE EKLER</w:t>
      </w:r>
    </w:p>
    <w:p>
      <w:r>
        <w:t>Ek-1: Sözleşme, değişiklikler ve sıfat kayıtları; Ek-2: Olağanüstü olayın gerçek resmî/nesnel belgeleri; Ek-3: Başlangıç/dava tarihi mali-kullanım karşılaştırması; Ek-4: Ödeme ve varsa hak saklı tutma kayıtları; Ek-5: Bedel/harç hesabı ve emsaller; Ek-6: Son arabuluculuk tutanağı. Keşif, uzman bilirkişi. Celp: [Kurum, kayıt/dönem ve ispat konusu].</w:t>
      </w:r>
    </w:p>
    <w:p>
      <w:pPr>
        <w:keepNext/>
      </w:pPr>
      <w:r>
        <w:rPr>
          <w:b/>
        </w:rPr>
        <w:t>SONUÇ VE İSTEM</w:t>
      </w:r>
    </w:p>
    <w:p>
      <w:r>
        <w:t>Kiralanana ilişkin sözleşmenin aylık kira bedelinin dava tarihinden itibaren [tam tutar] TL [net/brüt ve kapsam] olarak artırılarak uyarlanmasına; yargılama giderleri ile varsa vekâlet ücretinin davalıya yükletilmesine karar verilmesini talep ederim.</w:t>
      </w:r>
    </w:p>
    <w:p>
      <w:r>
        <w:t>[Gerçek tarih] — Davacı(lar) / varsa gerçek vekili [Ad soyad ve imza]</w:t>
      </w:r>
    </w:p>
    <w:p>
      <w:pPr>
        <w:pageBreakBefore/>
      </w:pPr>
      <w:r>
        <w:rPr>
          <w:b/>
        </w:rPr>
        <w:t>HAZIRLIK NOTLARI — DİLEKÇEYE EKLENMEZ</w:t>
      </w:r>
    </w:p>
    <w:p>
      <w:r>
        <w:rPr>
          <w:b/>
        </w:rPr>
        <w:t xml:space="preserve">Kapsam: </w:t>
      </w:r>
      <w:r>
        <w:t>Bu iki ayrı form TL ile aylık ödenen konut veya çatılı işyeri kirasında, olağanüstü olay nedeniyle TBK 138 uyarlaması içindir. Sadece sıradan enflasyon, yüksek ilan veya rayiçten düşük kira anlatımı yeterli değildir. TBK 344–345 kira belirleme rejimi ayrı değerlendirilir; beş yıl veya TÜFE sınırını aşmak için uyarlama adı kullanılamaz.</w:t>
      </w:r>
    </w:p>
    <w:p>
      <w:r>
        <w:rPr>
          <w:b/>
        </w:rPr>
        <w:t xml:space="preserve">Dört koşul: </w:t>
      </w:r>
      <w:r>
        <w:t>Sözleşme sonrası öngörülemeyen/beklenmesi gerekmeyen olağanüstü durumu, sizden kaynaklanmadığını, sözleşme temelindeki dengeyi dürüstlük kuralına aykırı olacak derecede bozduğunu ve ifa edilmemiş veya aşırı güçlükten doğan haklar saklı tutularak ifa edilmiş borç durumunu belgeleriyle ayrı açıklayın. Sözleşmenin risk ve uyarlama hükümlerini okuyun. Olay adı tek başına kabul sebebi değildir.</w:t>
      </w:r>
    </w:p>
    <w:p>
      <w:r>
        <w:rPr>
          <w:b/>
        </w:rPr>
        <w:t xml:space="preserve">Ödeme ve kayıt: </w:t>
      </w:r>
      <w:r>
        <w:t>Kira ödemelerinin tarihini ve tutarını yazın. Hak saklı tutulduysa gerçek metin, dönem, gönderme/ulaşma ve dekont kaydını ekleyin. Yapılmamış ihtirazi kaydı yazmayın. Davanın açılması kira borcunu, artış hükmünü, takibi veya temerrüdü kendiliğinden durdurmaz; kendiliğinden ödemeyi kesmeyin.</w:t>
      </w:r>
    </w:p>
    <w:p>
      <w:r>
        <w:rPr>
          <w:b/>
        </w:rPr>
        <w:t xml:space="preserve">Tutar ve başlangıç: </w:t>
      </w:r>
      <w:r>
        <w:t>Mevcut ve istenen tutar aynı net/brüt esasta gösterilir; varsa stopaj/KDV ve aidat ayrı açıklanır. Bu form dava tarihinden itibaren aylık bedelin uyarlanması içindir. Geçmiş dönem, ödeme iadesi, artış hükmünün uyarlanması ve geçici tedbir ayrı somut istem ve hukuki inceleme gerektirir. Geçmişe yönelik uyarlamanın her olayda yasak veya her olayda mümkün olduğu söylenemez.</w:t>
      </w:r>
    </w:p>
    <w:p>
      <w:r>
        <w:rPr>
          <w:b/>
        </w:rPr>
        <w:t xml:space="preserve">Delil ve bilirkişi: </w:t>
      </w:r>
      <w:r>
        <w:t>Başlangıç ile dava tarihini karşılaştırın; olayın kiralananın kullanımına ve karşılıklı edimlere etkisini belgeleyin. Ciro azalması varsa olayla bağını, normal ticari riski ve giderleri gösterin. Kiraya verenin artış talebinde olağanüstü gelişimin başlangıçta öngörülmediğini ve kiracı yatırımlarından ayrımını açıklayın. Sadece bugünkü boş kiralama rayici raporu uyarlama koşullarını kanıtlamaz.</w:t>
      </w:r>
    </w:p>
    <w:p>
      <w:r>
        <w:rPr>
          <w:b/>
        </w:rPr>
        <w:t xml:space="preserve">Mahkeme ve arabuluculuk: </w:t>
      </w:r>
      <w:r>
        <w:t>Sulh hukuk görevi ile HMK 6/10 ve varsa geçerli yetki sözleşmesi somut olarak incelenir. Kiralananın yeri otomatik kesin yetki değildir. Dava öncesi arabuluculuk tamamlanır; doğru taraf ve uyuşmazlığa ait son tutanak eklenir. TBK 138 için 344/3 beş yıl veya 345 otuz gün şartı otomatik aktarılmaz.</w:t>
      </w:r>
    </w:p>
    <w:p>
      <w:r>
        <w:rPr>
          <w:b/>
        </w:rPr>
        <w:t xml:space="preserve">Değer ve talepler: </w:t>
      </w:r>
      <w:r>
        <w:t>Harca esas hesap ve güncel tarife dava türü, fark, dönem ve ek para istemlerine göre ayrıca belirlenir; kira tespitindeki aylık fark veya tahliyenin toplam yıllık kirası otomatik kopyalanmaz. Bu form kira tahsili, iade, fesih veya tahliye talebi içermez. Uyarlama mümkün görülmezse kira kendiliğinden sona ermez; sürekli edimli sözleşmede fesih koşulları ve açık istem ayrıca değerlendirilir.</w:t>
      </w:r>
    </w:p>
    <w:p>
      <w:r>
        <w:rPr>
          <w:b/>
        </w:rPr>
        <w:t xml:space="preserve">Sunum: </w:t>
      </w:r>
      <w:r>
        <w:t>Yalnız size ait formu seçin; iki karşıt form aynı davada birlikte sunulmaz. Köşeli alanları gerçek belgeyle doldurun, olmayan vekil satırını silin, hazırlık sayfasını ayırın. UYAP veya fiziki mahkeme sunumunun kayıt ve gerçek tarihini saklayın. KEP bildirimi tek başına dava açılması değildir.</w:t>
      </w:r>
    </w:p>
    <w:p>
      <w:r>
        <w:t>Belge ve resmî kaynak karşılaştırması: 8 Ekim 2026</w:t>
      </w:r>
    </w:p>
    <w:p>
      <w:r>
        <w:rPr>
          <w:sz w:val="18"/>
        </w:rPr>
        <w:t>TBK 138: https://mevzuat.adalet.gov.tr/mevzuat/103273</w:t>
      </w:r>
    </w:p>
    <w:p>
      <w:r>
        <w:rPr>
          <w:sz w:val="18"/>
        </w:rPr>
        <w:t>3. HD 2025/2958 E., 2026/118 K., 14.01.2026: uyarlamaya özgü inceleme</w:t>
      </w:r>
    </w:p>
    <w:p>
      <w:r>
        <w:rPr>
          <w:sz w:val="18"/>
        </w:rPr>
        <w:t>https://mevzuat.adalet.gov.tr/ictihat/1195808800</w:t>
      </w:r>
    </w:p>
    <w:p>
      <w:r>
        <w:rPr>
          <w:sz w:val="18"/>
        </w:rPr>
        <w:t>HMK: https://mevzuat.adalet.gov.tr/mevzuat/103103</w:t>
      </w:r>
    </w:p>
    <w:p>
      <w:r>
        <w:rPr>
          <w:sz w:val="18"/>
        </w:rPr>
        <w:t>Arabuluculuk: https://mevzuat.adalet.gov.tr/mevzuat/104320</w:t>
      </w:r>
    </w:p>
    <w:sectPr w:rsidR="00FC693F" w:rsidRPr="0006063C" w:rsidSect="00034616">
      <w:pgSz w:w="11906" w:h="16838"/>
      <w:pgMar w:top="850" w:right="1020" w:bottom="850"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40" w:lineRule="auto" w:after="60"/>
    </w:pPr>
    <w:rPr>
      <w:rFonts w:ascii="Times New Roman" w:hAnsi="Times New Roman"/>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Ki̇raya Veren Kira Uyarlama Dilekçesi</dc:title>
  <dc:subject>TBK 138 olağanüstü olay, denge, ödeme ve somut istem</dc:subject>
  <dc:creator/>
  <cp:keywords/>
  <dc:description>generated by python-docx</dc:description>
  <cp:lastModifiedBy/>
  <cp:revision>1</cp:revision>
  <dcterms:created xsi:type="dcterms:W3CDTF">2013-12-23T23:15:00Z</dcterms:created>
  <dcterms:modified xsi:type="dcterms:W3CDTF">2013-12-23T23:15:00Z</dcterms:modified>
  <cp:category/>
</cp:coreProperties>
</file>