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[DOSYANIN GÖRÜLDÜĞÜ MAHKEMENİN TAM ADI]NE</w:t>
      </w:r>
    </w:p>
    <w:p>
      <w:r>
        <w:t>DOSYA NO: [Esas numarası]</w:t>
      </w:r>
    </w:p>
    <w:p>
      <w:r>
        <w:t>DAVACI / ISLAH EDEN: [Ad soyad/unvan ve adres]</w:t>
      </w:r>
    </w:p>
    <w:p>
      <w:r>
        <w:t>VEKİLİ (VARSA): [Gerçek vekilin adı soyadı ve adresi; yoksa çıkarın]</w:t>
      </w:r>
    </w:p>
    <w:p>
      <w:r>
        <w:t>DAVALI: [Ad soyad/unvan ve adres]</w:t>
      </w:r>
    </w:p>
    <w:p>
      <w:r>
        <w:t>KONU: [Tarih] tarihli dava dilekçesindeki [paragraf/işlem] yönünden HMK m.176 ve devamı uyarınca kısmi ıslah beyanıdır.</w:t>
      </w:r>
    </w:p>
    <w:p>
      <w:pPr>
        <w:keepNext/>
      </w:pPr>
      <w:r>
        <w:rPr>
          <w:b/>
        </w:rPr>
        <w:t>AÇIKLAMALAR</w:t>
      </w:r>
    </w:p>
    <w:p>
      <w:r>
        <w:t>1. Mahkemenizin yukarıda belirtilen dosyasında [davanın konusu] görülmektedir. Davacı sıfatıyla bu davada daha önce ıslah yoluna başvurmadım. Tahkikat henüz sona ermemiştir; dosya aşaması [son duruşma tutanağı ve tarih] ile belirlenmektedir.</w:t>
      </w:r>
    </w:p>
    <w:p>
      <w:r>
        <w:t>2. Kısmen ıslah ettiğim işlem, [tarih] tarihli dava dilekçesinin [paragraf/istem numarası] bölümüdür. Önceki beyanın ilgili kısmı: “[Değiştirilen eski metin]”. Bu kısmı “[Yerine geçen yeni, açık ve tam metin]” şeklinde düzeltiyorum. Diğer beyan ve taleplerim bu ıslahın dışında kalmaktadır.</w:t>
      </w:r>
    </w:p>
    <w:p>
      <w:r>
        <w:t>3. Düzeltmenin olgusal gerekçesi [somut olay, tarih ve önceki açıklamadan fark]tır. Bu olguya ilişkin dosyadaki [belge ve sıra numarası] ile [usulüne uygun sunulması istenen belge, konusu ve sunulma gerekçesi] gösterilmiştir.</w:t>
      </w:r>
    </w:p>
    <w:p>
      <w:r>
        <w:t>4. Dava değeri ve istem üzerindeki etki [değişmiyor / değişen kalem ve önceki-yeni tutar]dır. Değer değişiyorsa her kalemin farkı [ayrı hesap]ta gösterilmiştir. Dosyada istenen faiz türü ve başlangıcı [mevcut istem]dir; varsa değişiklik ve dayanağı [ayrı açıklama]dır. Harç işlemi [makbuz bilgisi veya tamamlanacak fark]tır.</w:t>
      </w:r>
    </w:p>
    <w:p>
      <w:r>
        <w:t>5. Islah nedeniyle mahkemece HMK m.178 kapsamında teminat belirlenirse verilen bir haftalık süre içinde yatıracağım. HMK m.181 uyarınca ıslah edilen işlem için verilecek bir haftalık süreyi ayrıca takip edeceğim. Değişikliğin karşı tarafa bildirilmesini talep ediyorum.</w:t>
      </w:r>
    </w:p>
    <w:p>
      <w:pPr>
        <w:keepNext/>
      </w:pPr>
      <w:r>
        <w:rPr>
          <w:b/>
        </w:rPr>
        <w:t>HUKUKİ NEDENLER</w:t>
      </w:r>
    </w:p>
    <w:p>
      <w:r>
        <w:t>HMK m.176–179, 181–182 ve ilgili hükümler.</w:t>
      </w:r>
    </w:p>
    <w:p>
      <w:pPr>
        <w:keepNext/>
      </w:pPr>
      <w:r>
        <w:rPr>
          <w:b/>
        </w:rPr>
        <w:t>DAYANAK VE EKLER</w:t>
      </w:r>
    </w:p>
    <w:p>
      <w:r>
        <w:t>Dosyadaki ilk dilekçe ve ilgili tutanaklar; Ek-1: [Somut düzeltmeyi açıklayan belge]; Ek-2: [Varsa eski-yeni miktar hesabı]; Ek-3: [Varsa harç makbuzu].</w:t>
      </w:r>
    </w:p>
    <w:p>
      <w:pPr>
        <w:keepNext/>
      </w:pPr>
      <w:r>
        <w:rPr>
          <w:b/>
        </w:rPr>
        <w:t>SONUÇ VE İSTEM</w:t>
      </w:r>
    </w:p>
    <w:p>
      <w:r>
        <w:t>Belirtilen usul işlemi yönünden kısmi ıslah beyanımın dosyaya alınmasına, bu beyanın karşı tarafa bildirilmesine ve yargılamanın yukarıda açıkça gösterilen düzeltme kapsamında sürdürülmesine karar verilmesini talep ederim.</w:t>
      </w:r>
    </w:p>
    <w:p>
      <w:pPr>
        <w:keepNext/>
      </w:pPr>
      <w:r>
        <w:rPr>
          <w:b w:val="0"/>
        </w:rPr>
        <w:t>[Tarih] — Davacı / varsa gerçek vekili [Ad soyad ve imza]</w:t>
      </w:r>
    </w:p>
    <w:p>
      <w:pPr>
        <w:pageBreakBefore/>
      </w:pPr>
      <w:r>
        <w:rPr>
          <w:b/>
        </w:rPr>
        <w:t>HAZIRLIK NOTLARI — DİLEKÇEYE EKLENMEZ</w:t>
      </w:r>
    </w:p>
    <w:p>
      <w:r>
        <w:rPr>
          <w:b/>
        </w:rPr>
        <w:t xml:space="preserve">Kapsam: </w:t>
      </w:r>
      <w:r>
        <w:t>Bu belge, davacının belirli bir usul işlemini kısmen ıslah etmesi içindir. Davanın tamamen ıslahı, cevap dilekçesinin ıslahı ve salt talep artırımı ayrı değerlendirilir. Eski ve yeni metni açıkça karşılaştırın; yalnız “ıslah ediyorum” yazmayın.</w:t>
      </w:r>
    </w:p>
    <w:p>
      <w:r>
        <w:rPr>
          <w:b/>
        </w:rPr>
        <w:t xml:space="preserve">Yeni talep artırımı: </w:t>
      </w:r>
      <w:r>
        <w:t>HMK 107, 31 Temmuz 2026’da kaldırılmıştır; önceki davalarda geçiş hükmü gereği uygulanır. Güncel HMK 109/4 kapsamındaki kısmi dava talep artırımı, tahkikat bitmeden bir defa yapılabilen ayrı yoldur; artırılan kısım için zamanaşımı dava tarihinde kesilmiş sayılır. Bu yolu ıslahla otomatik birleştirmeyin.</w:t>
      </w:r>
    </w:p>
    <w:p>
      <w:r>
        <w:rPr>
          <w:b/>
        </w:rPr>
        <w:t xml:space="preserve">Aşama ve sayı: </w:t>
      </w:r>
      <w:r>
        <w:t>Aynı davada tarafın bir ıslah hakkı vardır; tahkikat sona ermeden kullanılır. Bozma veya kaldırmadan sonra ilk derece mahkemesinde tahkikat işlemi yapılması hâli HMK 177/2 ile ayrıca incelenir; bozma kararına uymakla doğan hukuki durum ortadan kaldırılamaz.</w:t>
      </w:r>
    </w:p>
    <w:p>
      <w:r>
        <w:rPr>
          <w:b/>
        </w:rPr>
        <w:t xml:space="preserve">Üç farklı bir haftalık süre: </w:t>
      </w:r>
      <w:r>
        <w:t>HMK 178: hâkimin belirlediği teminat yatırılmazsa ıslah yapılmamış sayılır. HMK 180: tam ıslah bildiriminden itibaren bir haftada yeni dava dilekçesi verilmezse hak kullanılmış sayılır; dava ıslah edilmemiş gibi sürer. HMK 181: kısmi ıslah için verilen bir haftada işlem yapılmazsa dava ıslah edilmemiş gibi sürer. Harç farkı teminatın yerine geçmez.</w:t>
      </w:r>
    </w:p>
    <w:p>
      <w:r>
        <w:rPr>
          <w:b/>
        </w:rPr>
        <w:t xml:space="preserve">Etki ve sınır: </w:t>
      </w:r>
      <w:r>
        <w:t>HMK 179, ikrar ile tanık, bilirkişi, keşif, isticvap ve yemin işlemleri için özel sınırlar içerir. Mevcut olmayan belgeyi eklenmiş gibi yazmayın. Islahı yeni delil sunma sürelerini sınırsız açan yol saymayın. Taraf değişikliği, açık yazı/hesap hatası ve hüküm sonrası düzeltme farklı usullerdir. Kötüniyetli ıslahın sonucu HMK 182’de düzenlenir.</w:t>
      </w:r>
    </w:p>
    <w:p>
      <w:r>
        <w:rPr>
          <w:b/>
        </w:rPr>
        <w:t xml:space="preserve">Hesap ve başvuru: </w:t>
      </w:r>
      <w:r>
        <w:t>Tutar değişiyorsa her kalemde önceki tutar, fark, yeni toplam, faiz türü ve başlangıcı yazılır. Zamanaşımı ile faiz, dava türü ve hukuki sebebe göre ayrıca kontrol edilir. Belgeyi ilgili dosyaya usulüne uygun kaydettirin; harç ve teslim kayıtlarını saklayın.</w:t>
      </w:r>
    </w:p>
    <w:p>
      <w:r>
        <w:t>Belge ve resmî kaynak karşılaştırması: 8 Ekim 2026</w:t>
      </w:r>
    </w:p>
    <w:p>
      <w:r>
        <w:rPr>
          <w:sz w:val="19"/>
        </w:rPr>
        <w:t>Güncel HMK: 109, 176–183 ve geçiş hükmü</w:t>
      </w:r>
    </w:p>
    <w:p>
      <w:r>
        <w:rPr>
          <w:sz w:val="19"/>
        </w:rPr>
        <w:t>https://mevzuat.adalet.gov.tr/mevzuat/103103</w:t>
      </w:r>
    </w:p>
    <w:sectPr w:rsidR="00FC693F" w:rsidRPr="0006063C"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8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Kısmi Islah Dilekçesi</dc:title>
  <dc:subject>Belirli usul işlemi, eski-yeni beyan ve süre ayrımı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