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Konişmento Hamillerine Güvenli Tevdi Bildirimi</w:t>
      </w:r>
    </w:p>
    <w:p>
      <w:pPr>
        <w:widowControl/>
      </w:pPr>
      <w:r>
        <w:t>KONİŞMENTO HAMİLLERİNE</w:t>
        <w:br/>
        <w:t>[Başvuran hamillerin ayrı ayrı ad/unvan ve bildirim adresleri; ekli muhatap listesi]</w:t>
      </w:r>
    </w:p>
    <w:p>
      <w:pPr>
        <w:widowControl/>
      </w:pPr>
      <w:r>
        <w:t>BİLDİREN: [Kaptanın adı, gemi adı ve kimlik bilgisi]</w:t>
        <w:br/>
        <w:t>TAŞIYAN: [Tam unvan ve adres]</w:t>
        <w:br/>
        <w:t>KONU: TTK m.1231/1 uyarınca eşzamanlı teslim istemlerinin reddi, eşyanın güvenli yere tevdi edilmesi ve gerekçenin bildirilmesidir.</w:t>
      </w:r>
    </w:p>
    <w:p>
      <w:pPr>
        <w:widowControl/>
      </w:pPr>
      <w:r>
        <w:t>AÇIKLAMALAR</w:t>
      </w:r>
    </w:p>
    <w:p>
      <w:pPr>
        <w:widowControl/>
      </w:pPr>
      <w:r>
        <w:t>1. [Düzenleme tarihi] tarihli, [numara] sayılı konişmento, [gemi/sefer ve liman] taşımasına ilişkin [eşyanın cinsi, kalemleri, miktarı ve tanıtıcı kayıtları] için [orijinal nüsha sayısı] nüsha olarak düzenlenmiştir. İlgili eşyanın ayrıntılı listesi Ek-1’dedir.</w:t>
      </w:r>
    </w:p>
    <w:p>
      <w:pPr>
        <w:widowControl/>
      </w:pPr>
      <w:r>
        <w:t>2. [Birinci hamil ve temsilcisi] [tarih/saat/başvuru yolu] kaydıyla [nüsha ve ciro bilgisi] üzerinden; [diğer hamiller, aynı bilgiler] ise [başvuru kayıtları] üzerinden eşyanın teslimini istemiştir. İbraz ve yetki kayıtları Ek-2’dedir. Bu meşru hamillerin teslim istemleri aynı zamanda mevcut olup eşya hiçbirine teslim edilmemiştir.</w:t>
      </w:r>
    </w:p>
    <w:p>
      <w:pPr>
        <w:widowControl/>
      </w:pPr>
      <w:r>
        <w:t>3. TTK m.1231/1 uyarınca anılan hamillerin bütün teslim istemleri reddedilmiştir. Eşya, [gerçek tevdi tarihi ve saati] itibarıyla [umumi ambar/başka güvenli yerin adı ve açık adresi] konumuna tevdi edilmiştir. [Teslim alan işletme/kişi] tarafından düzenlenen [numara ve tarih] kabul belgesi ile muhafaza koşullarını gösteren kayıtlar Ek-3’tedir.</w:t>
      </w:r>
    </w:p>
    <w:p>
      <w:pPr>
        <w:widowControl/>
      </w:pPr>
      <w:r>
        <w:t>4. Ret ve güvenli tevdi işleminin sebebi, aynı eşya hakkında yukarıda belirtilen meşru hamillerin konişmento nüshalarına dayalı teslim istemlerinin aynı zamanda bulunmasıdır. Seçilen muhafaza yerinin eşyanın niteliğine uygunluğu [gerçek belge/koşul açıklaması] ile kayıt altına alınmıştır. Bu bildirim, hamiller arasındaki hak önceliğini kesinleştiren bir karar değildir.</w:t>
      </w:r>
    </w:p>
    <w:p>
      <w:pPr>
        <w:widowControl/>
      </w:pPr>
      <w:r>
        <w:rPr>
          <w:b/>
        </w:rPr>
        <w:t>BİLDİRİM: Yukarıda açıklanan istemlerin reddi, tamamlanmış güvenli tevdi işlemi, eşyanın güncel muhafaza yeri ve işlemin sebepleri TTK m.1231/1 kapsamında bütün muhatap hamillere bildirilmektedir. Bildirimin teslim kaydının dosyaya alınması ve sonraki yazışmalarda [konişmento/sefer] referansının kullanılması rica olunur.</w:t>
      </w:r>
    </w:p>
    <w:p>
      <w:pPr>
        <w:widowControl/>
      </w:pPr>
      <w:r>
        <w:t>EKLER: 1. Eşya ve konişmento tanıtım listesi. 2. İbraz, temsil ve teslim başvurusu kayıtları. 3. Tevdi kabul belgesi ve muhafaza kayıtları. 4. Bütün muhatapları gösteren bildirim listesi. [Dosyada bulunmayan ekler çıkarılır; mevcut ek numaraları uyarlanır.]</w:t>
      </w:r>
    </w:p>
    <w:p>
      <w:pPr>
        <w:widowControl/>
      </w:pPr>
      <w:r>
        <w:t>Tarih: [Gerçek gönderim tarihi]</w:t>
        <w:br/>
        <w:t>Bildiren kaptan/yetkili imza: [Ad, sıfat ve gerçek imza]</w:t>
      </w:r>
    </w:p>
    <w:p>
      <w:r>
        <w:br w:type="page"/>
      </w:r>
    </w:p>
    <w:p>
      <w:pPr>
        <w:pStyle w:val="Heading1"/>
      </w:pPr>
      <w:r>
        <w:t>Uyarlama ve İşlem Kontrolü</w:t>
      </w:r>
    </w:p>
    <w:p>
      <w:r>
        <w:rPr>
          <w:b/>
        </w:rPr>
        <w:t xml:space="preserve">1. Gerçek kanuni koşul: </w:t>
      </w:r>
      <w:r>
        <w:t>TTK 1231/1, birden çok meşru hamilin aynı zamanda teslim istemine ilişkindir. Yalnız çok nüsha düzenlenmesi yeterli değildir. İbraz, yetki ve başvuru kayıtları incelenir; belge aslı görülmeden görülmüş gibi yazılmaz.</w:t>
      </w:r>
    </w:p>
    <w:p>
      <w:r>
        <w:rPr>
          <w:b/>
        </w:rPr>
        <w:t xml:space="preserve">2. Tamamlanmış tevdi: </w:t>
      </w:r>
      <w:r>
        <w:t>Bu örnek gerçekten yapılmış güvenli tevdi işleminin bildirimidir. Depo adı, açık adres, kabul tarihi, saat ve belge numarası gerçek kayıttan alınır. Gelecekte yapılacak işlem geçmiş zamanla bildirilmez.</w:t>
      </w:r>
    </w:p>
    <w:p>
      <w:r>
        <w:rPr>
          <w:b/>
        </w:rPr>
        <w:t xml:space="preserve">3. Bütün muhataplar: </w:t>
      </w:r>
      <w:r>
        <w:t>Başvuruda bulunan bütün ilgili hamiller ayrı ayrı listeye yazılır. İletilen metin, ekler ve ulaşma kaydı her muhatap bakımından saklanır. Yalnız ilk hamil veya bildirim kişisiyle sınırlı liste kullanılmaz.</w:t>
      </w:r>
    </w:p>
    <w:p>
      <w:r>
        <w:rPr>
          <w:b/>
        </w:rPr>
        <w:t xml:space="preserve">4. Eşya ve güvenli muhafaza: </w:t>
      </w:r>
      <w:r>
        <w:t>Yük niteliği, miktar, konteyner ve mühür kayıtları dosyayla eşleştirilir. Seçilen yerin gerçek muhafaza koşulları belgelenir. Kabul tutanağındaki durumdan farklı, doğrulanmamış hasarsızlık beyanı eklenmez.</w:t>
      </w:r>
    </w:p>
    <w:p>
      <w:r>
        <w:rPr>
          <w:b/>
        </w:rPr>
        <w:t xml:space="preserve">5. Resmî senet ve gider: </w:t>
      </w:r>
      <w:r>
        <w:t>TTK 1231/2 resmî senet düzenletme yetkisini ayrıca tanır ve giderler için 1201’e atıf yapar. Özel Word bildirimi kendi başına resmî senet değildir. Giderler gerçek belge ve ilgili yolculuk bağlantısıyla ayrı izlenir.</w:t>
      </w:r>
    </w:p>
    <w:p>
      <w:r>
        <w:rPr>
          <w:b/>
        </w:rPr>
        <w:t xml:space="preserve">6. Hak önceliği: </w:t>
      </w:r>
      <w:r>
        <w:t>TTK 1235/2 ortak cirantanın ilk ciro ve teslim ettiği nüshaya ilişkin özel düzen içerir. İlk e-posta saati kesin hak önceliği olarak yazılmaz. Bu bildirim hamiller arası uyuşmazlığı çözen mahkeme kararı değildir.</w:t>
      </w:r>
    </w:p>
    <w:p>
      <w:r>
        <w:rPr>
          <w:b/>
        </w:rPr>
        <w:t xml:space="preserve">7. Tarih, imza ve gönderim: </w:t>
      </w:r>
      <w:r>
        <w:t>Tarihi gerçek gönderim gününe uyarlayın. Bildiren sıfatı ve varsa temsil yetkisini doğrulayın. Güvenli elektronik imza gerçekten kullanılmadan e-imzalıdır yazmayın. Uyarlama sayfasını gönderilecek nihai nüshadan çıkarın; bu dosya henüz gönderilmiş belge değildir.</w:t>
      </w:r>
    </w:p>
    <w:p>
      <w:r>
        <w:t>Genel ve düzenlenebilir örnek. Dayanak: 6102 sayılı TTK 1201, 1230–1232, 1235. Resmî metin incelemesi: 8 Ekim 2026. Hukuki kapsam/yazar: Av. Halil Bakırcı, Mersin Barosu 3472. Somut konişmento ve tevdi kayıtları birlikte değerlendirilir.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Konişmento Hamillerine Güvenli Tevdi Bildirimi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