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Konişmentoda Ücret Kaydı Olmayan Gönderilenin İtirazı</w:t>
      </w:r>
    </w:p>
    <w:p>
      <w:pPr>
        <w:widowControl/>
      </w:pPr>
      <w:r>
        <w:t>[TAŞIYANIN GERÇEK UNVANI VE BİLDİRİM ADRESİ]’NE</w:t>
      </w:r>
    </w:p>
    <w:p>
      <w:pPr>
        <w:widowControl/>
      </w:pPr>
      <w:r>
        <w:t>BAŞVURAN GÖNDERİLEN / HAMİL: [Gerçek unvan, adres ve yetkili kişi]</w:t>
        <w:br/>
        <w:t>TEMSİLCİ: [Varsa gerçek temsil bilgisi]</w:t>
        <w:br/>
        <w:t>KONİŞMENTO / YÜK: [Gerçek senet tarihi-numarası, gemi, parti ve yük bilgisi]</w:t>
        <w:br/>
        <w:t>İTİRAZ EDİLEN TALEP: [Gerçek belge/fatura tarihi, numarası, kalem, tutar ve para birimi]</w:t>
        <w:br/>
        <w:t>KONU: TTK m.1240/1 kapsamında ücret kaydı içermeyen konişmentoyu devralmış üçüncü kişi olarak yöneltilen navlun ve yükleme limanı sürastaryası talebine itiraz.</w:t>
      </w:r>
    </w:p>
    <w:p>
      <w:pPr>
        <w:widowControl/>
      </w:pPr>
      <w:r>
        <w:t>1. Yukarıda tanımlanan konişmento [gerçek devir tarihi ve işlem] ile tarafımıza devredilmiştir. İlgili navlun sözleşmesinin taşıtanı değiliz. Meşru hamil/gönderilen sıfatımız ve temsil yetkimiz ekteki gerçek belgelerle gösterilmektedir. [Gerçek teslim talebi varsa tarih ve belge bilgisi] ayrıca eklenmiştir.</w:t>
      </w:r>
    </w:p>
    <w:p>
      <w:pPr>
        <w:widowControl/>
      </w:pPr>
      <w:r>
        <w:t>2. Devraldığımız konişmentonun ekte sunulan ön/arka yüzü ve gerçek ekleri, navlunun tarafımızca ödeneceğine veya yükleme limanında gerçekleşen sürastarya parasının tarafımızca ödeneceğine ilişkin kayıt içermemektedir. İncelenen senet kapsamı [gerçek sayfa ve ek bilgisi] şeklindedir. [Yalnız gerçekten kaydı bulunmayan ve talep edilmiş kalemler bırakılır.]</w:t>
      </w:r>
    </w:p>
    <w:p>
      <w:pPr>
        <w:widowControl/>
      </w:pPr>
      <w:r>
        <w:t>3. TTK m.1240/1, bu kaydı içermeyen konişmentonun gönderilenin ödeme yükümlülüğü bulunmadığına karine oluşturduğunu ve böyle bir senedi devralan üçüncü kişiye karşı karinenin aksinin ispatlanamayacağını düzenler. TTK m.1237/1 uyarınca tarafımızla taşıyan arasındaki ilişkide konişmento esas alınır.</w:t>
      </w:r>
    </w:p>
    <w:p>
      <w:pPr>
        <w:widowControl/>
      </w:pPr>
      <w:r>
        <w:t>4. [Gerçek talep belgesi] ile istenen [gerçek navlun kalemi/tutarı] ve [varsa gerçek yükleme limanı sürastaryası kalemi/tutarı] bu nedenle tarafımıza yöneltilemez. Ekli cetvelde itirazın kapsamı ayrı gösterilmiştir. Gümrük resmi ve başka giderler, varsa kendi gerçek dayanakları ve belgeleriyle ayrı değerlendirilir; bu itiraz onlara ilişkin otomatik borçsuzluk beyanı değildir.</w:t>
      </w:r>
    </w:p>
    <w:p>
      <w:pPr>
        <w:widowControl/>
      </w:pPr>
      <w:r>
        <w:t>5. Navlun için taşıma sözleşmesine yollama ileri sürülüyorsa, TTK m.1240/3 gereği bu yollamanın boşaltma süresi, sürastarya süresi ve sürastarya parasını kapsamadığı dikkate alınmalıdır. Başka bir kayıt veya bağımsız dayanak ileri sürülüyorsa gerçek metni ve başvuranla ilişkisi açıkça bildirilmelidir.</w:t>
      </w:r>
    </w:p>
    <w:p>
      <w:pPr>
        <w:widowControl/>
      </w:pPr>
      <w:r>
        <w:rPr>
          <w:b/>
        </w:rPr>
        <w:t>SONUÇ VE İSTEM: TTK m.1240/1 ve ilgili gerçek konişmento kapsamında, ekli cetvelde belirtilen navlun ve yükleme limanı sürastaryası talebinin tarafımıza yöneltilmesine itiraz ediyoruz. İtiraz edilen kalemlerin başvuran hesabından çıkarılmasını ve talep/fatura kaydının buna göre düzeltilmesini; aksi iddia varsa gerçek senet kaydı, sıfat ve diğer hukuki dayanağın belgeleriyle yazılı açıklanmasını talep ederiz.</w:t>
      </w:r>
    </w:p>
    <w:p>
      <w:pPr>
        <w:widowControl/>
      </w:pPr>
      <w:r>
        <w:t>EKLER: [Gerçek konişmentonun bütün yüz ve ekleri, devir/hamil ve temsil belgeleri, talep veya fatura, kalem cetveli, mevcut teslim/ödeme kayıtları]</w:t>
        <w:br/>
        <w:t>TARİH: [Gerçek gönderim tarihi]</w:t>
        <w:br/>
        <w:t>GÖNDERİLEN / YETKİLİ TEMSİLCİ: [Gerçek ad ve sıfat]</w:t>
        <w:br/>
        <w:t>İMZA: [Gerçek imza]</w:t>
      </w:r>
    </w:p>
    <w:p>
      <w:r>
        <w:br w:type="page"/>
      </w:r>
    </w:p>
    <w:p>
      <w:pPr>
        <w:pStyle w:val="Heading1"/>
      </w:pPr>
      <w:r>
        <w:t>Dosyaya Uyarlama ve Senet Kontrolü</w:t>
      </w:r>
    </w:p>
    <w:p>
      <w:r>
        <w:rPr>
          <w:b/>
        </w:rPr>
        <w:t xml:space="preserve">1. Doğru başvuran: </w:t>
      </w:r>
      <w:r>
        <w:t>Örnek TTK m.1240/1 kapsamında ücret kaydı içermeyen konişmentoyu devralmış üçüncü kişi gönderilen/hamil içindir. Taşıtanın kendi navlun sözleşmesi borcunu bu başvuruyla ortadan kalkmış gibi göstermeyin. Gerçek devir ve temsil belgelerini kontrol edin.</w:t>
      </w:r>
    </w:p>
    <w:p>
      <w:r>
        <w:rPr>
          <w:b/>
        </w:rPr>
        <w:t xml:space="preserve">2. Senedin tamamı: </w:t>
      </w:r>
      <w:r>
        <w:t>Gerçek ön/arka yüz, ek, şerh ve yollamaları okuyun. Eksik taramada kayıt yokluğu kesin yazılmaz. TTK m.1229/2 temel unsurlar korunmuşsa eksik ücret kaydının senedi konişmento olmaktan çıkarmadığını düzenler.</w:t>
      </w:r>
    </w:p>
    <w:p>
      <w:r>
        <w:rPr>
          <w:b/>
        </w:rPr>
        <w:t xml:space="preserve">3. Kalem ayrımı: </w:t>
      </w:r>
      <w:r>
        <w:t>Navlun ile yükleme limanında gerçekleşen sürastarya ayrı gösterilir. TTK m.1240/1 bütün ardiye, detention ve gümrük giderlerini otomatik kaldırmaz. TTK m.1203 kapsamındaki başka giderlerin gerçek belge ve hesabı ayrıca değerlendirilir.</w:t>
      </w:r>
    </w:p>
    <w:p>
      <w:r>
        <w:rPr>
          <w:b/>
        </w:rPr>
        <w:t xml:space="preserve">4. İspat sonucu: </w:t>
      </w:r>
      <w:r>
        <w:t>TTK m.1240/1 önce ödeme yükümlülüğü bulunmadığına karine kurar, sonra bu kaydı içermeyen senedi devralan üçüncü kişiye karşı aksinin ispatlanamayacağını düzenler. Üçüncü kişi ve devir koşullarını saklamayın.</w:t>
      </w:r>
    </w:p>
    <w:p>
      <w:r>
        <w:rPr>
          <w:b/>
        </w:rPr>
        <w:t xml:space="preserve">5. Yollama ve miktar: </w:t>
      </w:r>
      <w:r>
        <w:t>TTK m.1240/3 navlun için sözleşmeye yollamanın boşaltma ve sürastarya süre/parasını kapsamadığını belirtir. M.1240/2 ölçü/sayı/tartı hesabı ise ayrı miktar sorusudur. Senetteki gerçek bağımsız kayıtlar incelenir.</w:t>
      </w:r>
    </w:p>
    <w:p>
      <w:r>
        <w:rPr>
          <w:b/>
        </w:rPr>
        <w:t xml:space="preserve">6. Teslim ve diğer süreçler: </w:t>
      </w:r>
      <w:r>
        <w:t>TTK m.1230 ve 1236 gerçek hamil ile senet karşılığı teslimi; m.1204 hapis sınırını düzenler. Bu başvuru dava veya takibe özgü süreli itirazın yerine geçmez. Gerçek adli tebligatı ayrı kontrol edin.</w:t>
      </w:r>
    </w:p>
    <w:p>
      <w:r>
        <w:rPr>
          <w:b/>
        </w:rPr>
        <w:t xml:space="preserve">7. Tarih, ek ve imza: </w:t>
      </w:r>
      <w:r>
        <w:t>Gerçek gönderim günü ve yetkili kişinin gerçek imzası kullanılır. Güvenli elektronik imza uygulanmadan e-imzalıdır yazılmaz. Gerçek olmayan ekleri, boş alanları, kullanılmayan seçenekleri ve bu hazırlık sayfasını sunulan nüshadan çıkarın.</w:t>
      </w:r>
    </w:p>
    <w:p>
      <w:r>
        <w:t>Genel ve düzenlenebilir örnek. Doğrudan dayanak TTK m.1240/1; bağlantılı hükümler m.1229, 1230, 1236, 1237, 1203–1204 ve m.1240/2–3. Güncel resmî metin 9 Ekim 2026 tarihinde incelendi. Yazar: Av. Halil Bakırcı, Mersin Barosu 3472. Gerçek senet, üçüncü kişi sıfatı ve talep kalemleri birlikte kontrol edilir; teslim veya uyuşmazlık sonucu garantisi verilmez.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Konişmentoda Ücret Kaydı Olmayan Gönderilenin İtirazı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