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ASLİYE HUKUK MAHKEMESİNE</w:t>
      </w:r>
    </w:p>
    <w:p>
      <w:r>
        <w:t>DAVACI: [Ad soyad, T.C. kimlik numarası ve adres]</w:t>
      </w:r>
    </w:p>
    <w:p>
      <w:r>
        <w:t>VEKİLİ (VARSA): [Gerçek vekilin adı soyadı ve adresi; yoksa çıkarın]</w:t>
      </w:r>
    </w:p>
    <w:p>
      <w:r>
        <w:t>DAVALI: [Gerçek kullanıcı adı soyadı/unvanı ve adresi]</w:t>
      </w:r>
    </w:p>
    <w:p>
      <w:r>
        <w:t>TAŞINMAZ: [İl/ilçe, mahalle, ada/parsel, bağımsız bölüm ve kullanılan alan]</w:t>
      </w:r>
    </w:p>
    <w:p>
      <w:r>
        <w:t>DAVA DEĞERİ: [Dönem cetvelindeki bu dava ile istenen tutarların toplamı] TL</w:t>
      </w:r>
    </w:p>
    <w:p>
      <w:r>
        <w:t>KONU: Davalı paydaş olmayan kullanıcının haksız kullanımı nedeniyle [başlangıç–bitiş] dönemine ait ecrimisilden HMK 109 kapsamında şimdilik [tutar] TL’nin dönemlere ayrılmış yasal faiziyle tahsili; kalan kısmından feragat edilmemesi talebidir.</w:t>
      </w:r>
    </w:p>
    <w:p>
      <w:pPr>
        <w:keepNext/>
      </w:pPr>
      <w:r>
        <w:rPr>
          <w:b/>
        </w:rPr>
        <w:t>AÇIKLAMALAR</w:t>
      </w:r>
    </w:p>
    <w:p>
      <w:r>
        <w:t>1. Davacı, taşınmazın malikidir. Mülkiyetin kazanıldığı tarih/dayanak [gerçek kayıt]tır. Tapu kaydı ve dönem içindeki hak sahipliği Ek-1’dedir.</w:t>
      </w:r>
    </w:p>
    <w:p>
      <w:r>
        <w:t>2. Davalı [başlangıç–bitiş, kullanılan bölüm ve kullanım biçimi] kapsamında taşınmazı kullanmıştır. Geçerli kira/tahsis veya başka kullanım hakkı bulunmaması [somut vakıa ve delil] ile açıklanmaktadır. [Önceki izin varsa sona ermesi/bildirim ve belge] gösterilmiştir. Kötüniyetin dayanağı [gerçek olgu ve tarih]tır; Ek-2’deki kayıtlarla kanıtlanmaktadır.</w:t>
      </w:r>
    </w:p>
    <w:p>
      <w:r>
        <w:t>3. Davalı taşınmazda paydaş değildir. Davacının tasarrufuna engel olan fiiller [olay/tarih]tir. [Varsa ihtar, ulaşma kaydı ve gerçek yanıt] Ek-3’tedir; ecrimisilde ayrıca temerrüt ihtarı zorunlu olduğu iddiası kurulmamaktadır.</w:t>
      </w:r>
    </w:p>
    <w:p>
      <w:r>
        <w:t>4. Talep dönemi [başlangıç–bitiş]tir. Mülkiyet hakkı, gerçek haksız kullanım ile zamanaşımı değerlendirmesi bu dönemle eşleştirilmiştir. Her dönem için [emsal sözleşme, taşınmaz özellikleri ve varsa mahsup] Ek-4’te; kullanılan alan ve dönem tespiti için keşif/bilirkişi istemi Ek-2 ile bağlantılıdır.</w:t>
      </w:r>
    </w:p>
    <w:p>
      <w:r>
        <w:t>5. Dönem cetveli: [1. başlangıç–bitiş / bu davada istenen tutar / faiz başlangıcı]; [2. dönem / tutar / faiz başlangıcı]; [diğer dönemler aynı biçimde]. Toplam kısmi istem [tutar] TL’dir. Cetvel ve dayanak hesap Ek-5’tedir. Her dönem bedeli ayrı değerlendirilir; talep edilen tutarlar toplam dava değeriyle aynıdır.</w:t>
      </w:r>
    </w:p>
    <w:p>
      <w:r>
        <w:t>6. Bu dava yalnız parasal ecrimisil istemidir; elatmanın önlenmesi/tapu tescili istenmemektedir. HMK 2 görevi ve HMK 6/16 kapsamındaki [yetkili yer ve somut gerekçe] gösterilmiştir. Uyuşmazlık [somut taraf/ilişki] bakımından ticari/tüketici, kira veya başka özel dava şartı rejiminde değildir; farklı ilişki varsa bu form kullanılarak şartlar atlanmaz.</w:t>
      </w:r>
    </w:p>
    <w:p>
      <w:pPr>
        <w:keepNext/>
      </w:pPr>
      <w:r>
        <w:rPr>
          <w:b/>
        </w:rPr>
        <w:t>HUKUKİ NEDENLER</w:t>
      </w:r>
    </w:p>
    <w:p>
      <w:r>
        <w:t>TMK m.683, 995; TBK m.117/2, 161; HMK m.2, 6, 16, 26, 109, 119, 190, 194, 266 vd.; ilgili faiz mevzuatı ve diğer hükümler.</w:t>
      </w:r>
    </w:p>
    <w:p>
      <w:pPr>
        <w:keepNext/>
      </w:pPr>
      <w:r>
        <w:rPr>
          <w:b/>
        </w:rPr>
        <w:t>DELİLLER VE EKLER</w:t>
      </w:r>
    </w:p>
    <w:p>
      <w:r>
        <w:t>Ek-1: Tapu ve hak sahipliği; Ek-2: Kullanıcı/alan/dönem kayıtları, fotoğraf ve [tanık adı-adresi/ispat konusu]; Ek-3: Varsa bildirim/yanıt; Ek-4: Gerçek emsal sözleşme/hesap dayanakları; Ek-5: Dönem ve talep/faiz cetveli. Celp: [Kurum, kayıt/dönem ve ispat konusu]. Taşınmaz niteliğine uygun keşif/bilirkişi incelemesi.</w:t>
      </w:r>
    </w:p>
    <w:p>
      <w:pPr>
        <w:keepNext/>
      </w:pPr>
      <w:r>
        <w:rPr>
          <w:b/>
        </w:rPr>
        <w:t>SONUÇ VE İSTEM</w:t>
      </w:r>
    </w:p>
    <w:p>
      <w:r>
        <w:t>Kalan alacaktan feragat etmeksizin, dava konusu dönemlere ayrılan şimdilik toplam [tutar] TL ecrimisilin, Ek-5’te her döneme tahsis edilen tutara ayrı belirtilen dönem sonundan itibaren işleyecek yasal faiziyle davalıdan tahsiline; yargılama giderleri ile varsa vekâlet ücretinin davalıya yükletilmesine karar verilmesini talep ederim.</w:t>
      </w:r>
    </w:p>
    <w:p>
      <w:r>
        <w:t>[Gerçek tarih] — Davacı / varsa gerçek vekili [Ad soyad ve imza]</w:t>
      </w:r>
    </w:p>
    <w:p>
      <w:pPr>
        <w:pageBreakBefore/>
      </w:pPr>
      <w:r>
        <w:rPr>
          <w:b/>
        </w:rPr>
        <w:t>HAZIRLIK NOTLARI — DİLEKÇEYE EKLENMEZ</w:t>
      </w:r>
    </w:p>
    <w:p>
      <w:r>
        <w:rPr>
          <w:b/>
        </w:rPr>
        <w:t xml:space="preserve">Kapsam: </w:t>
      </w:r>
      <w:r>
        <w:t>Bu belgeler özel hukukta yalnız para alacağı olan ecrimisil için kısmi dava örnekleridir. Tapu iptali/tescil, elatmanın önlenmesi, kamulaştırmasız el atma, idarenin ecrimisil ihbarnamesi, kira alacağı, ticari veya tüketici uyuşmazlığı aynı başvuru değildir. Elbirliği mirasında üçüncü kişiye yöneltilecek dava ve temsil ayrıca incelenir.</w:t>
      </w:r>
    </w:p>
    <w:p>
      <w:r>
        <w:rPr>
          <w:b/>
        </w:rPr>
        <w:t xml:space="preserve">Dönem ve taraf: </w:t>
      </w:r>
      <w:r>
        <w:t>Mülkiyet/pay hakkı, gerçek kullanıcı ve her davalının kullanım dönemi belgelenir. Her davalıyı bütün taşınmazların tümünden otomatik müteselsil sorumlu yazmayın. Hak kazanılmadan önceki dönem, izinli kullanım veya gerçekleşmemiş gelecek dönem bu forma eklenmez. Önceki malik alacağı devri ayrı belge gerektirir.</w:t>
      </w:r>
    </w:p>
    <w:p>
      <w:r>
        <w:rPr>
          <w:b/>
        </w:rPr>
        <w:t xml:space="preserve">Kira ve rıza: </w:t>
      </w:r>
      <w:r>
        <w:t>Geçerli kullanım hakkı/kira ile haksız işgal ayrılır. Kira bitiş tarihi, konut/çatılı işyerinde tek başına kiracıyı haksız işgalci yapmaz. Önceden verilen ücretsiz izin varsa sona erme ve karşı tarafa bildirimin etkisi açıklanır. Kötüniyetin somut dayanağı gösterilir.</w:t>
      </w:r>
    </w:p>
    <w:p>
      <w:r>
        <w:rPr>
          <w:b/>
        </w:rPr>
        <w:t xml:space="preserve">Paydaş ve intifadan men: </w:t>
      </w:r>
      <w:r>
        <w:t>Paydaşlar arasında yararlanma isteminin karşıya bildirilmesi kuralı ve gerçek istisna ayrı incelenir. Noter tek ispat yolu değildir. Kiraya verilerek gelir getiren yer, doğal ürün, paydaşlığın inkârı, kullanım anlaşması ve önceki dava/takip gibi olgular varsa ilgili dönem ve delil açıklanır. Sadece evin kiralanabilir olması otomatik istisna değildir. Davacının çekişmesiz kullandığı bölüm ve fiilî kullanım düzeni kontrol edilir.</w:t>
      </w:r>
    </w:p>
    <w:p>
      <w:r>
        <w:rPr>
          <w:b/>
        </w:rPr>
        <w:t xml:space="preserve">Tutar ve hesap: </w:t>
      </w:r>
      <w:r>
        <w:t>Dava değeri, her döneme tahsis edilen kısmi istemlerin toplamıdır; boş veya yalnız “bilirkişi belirlesin” bırakılmaz. Konut/işyerinde ilk işgal döneminin gerçek durumu, emsal sözleşmeler ve sonraki dönem endeksleri denetlenir. Tarımsal üründe ürün/verim/gider hesabı farklıdır. Bugünkü kira bedelini geçmiş bütün yıllarla çarpmayın; paya düşen tutarı ikinci kez payla çarpmayın.</w:t>
      </w:r>
    </w:p>
    <w:p>
      <w:r>
        <w:rPr>
          <w:b/>
        </w:rPr>
        <w:t xml:space="preserve">Süre ve talep artırımı: </w:t>
      </w:r>
      <w:r>
        <w:t>Ecrimisilde beş yıllık zamanaşımı değerlendirilir; hak düşürücü süre değildir. TBK 161 gereğince def’i, gerçek dönem, durma/kesilme ve başvuru tarihleri kontrol edilir. 31.07.2026 sonrası yeni davada mülga HMK 107 kopyalanmaz. HMK 109/4 artırımı aynı davada bir kez, tahkikat sona erene kadar ve gereken harç/usul işlemleriyle yapılır; artırılan kısımda zamanaşımı dava tarihinden kesilir. Bu, tarih itibarıyla zaten zamanaşımına uğramış alacağı diriltmez. Eski dava geçişi ayrıca incelenir.</w:t>
      </w:r>
    </w:p>
    <w:p>
      <w:r>
        <w:rPr>
          <w:b/>
        </w:rPr>
        <w:t xml:space="preserve">Faiz: </w:t>
      </w:r>
      <w:r>
        <w:t>Bu form dönem cetvelindeki ayrı tutarlara ayrı dönem sonlarından yasal faiz ister. Tam toplam tutara işgalin ilk gününden faiz yazılmaz. İstem dava tarihiyle sınırlandırılmışsa hâkim otomatik daha eski başlangıç uygulamaz. Artırım yapılırsa döneme ayrılan tutar ve faiz istemi açıkça korunur; zamanaşımı kesilmesi ile faiz başlangıcı aynı konu değildir.</w:t>
      </w:r>
    </w:p>
    <w:p>
      <w:r>
        <w:rPr>
          <w:b/>
        </w:rPr>
        <w:t xml:space="preserve">Mahkeme ve sunum: </w:t>
      </w:r>
      <w:r>
        <w:t>Bu özel parasal alacak formunda HMK 2 asliye hukuk görevi, 6/16 yetkisi somutlaştırılır. Aynî talep eklenirse HMK 12 ve diğer şartlar yeniden incelenir. Paydaş olmak tek başına bu parasal davayı ortaklığın giderilmesi veya kira davası yapmaz. Ticari/tüketici veya başka özel ilişki varsa görev ve arabuluculuk yeniden belirlenir. Olmayan vekil/delil çıkarılır; ilk dava için sahte esas numarası veya hazır elektronik imza yazılmaz. Yalnız dilekçe sayfası ve gerçek ekler UYAP/fiziken sunulur.</w:t>
      </w:r>
    </w:p>
    <w:p>
      <w:r>
        <w:t>Resmî kaynak karşılaştırması: 8 Ekim 2026</w:t>
      </w:r>
    </w:p>
    <w:p>
      <w:r>
        <w:rPr>
          <w:sz w:val="18"/>
        </w:rPr>
        <w:t>TMK: https://mevzuat.adalet.gov.tr/mevzuat/103249</w:t>
      </w:r>
    </w:p>
    <w:p>
      <w:r>
        <w:rPr>
          <w:sz w:val="18"/>
        </w:rPr>
        <w:t>HMK: https://mevzuat.adalet.gov.tr/mevzuat/103103</w:t>
      </w:r>
    </w:p>
    <w:p>
      <w:r>
        <w:rPr>
          <w:sz w:val="18"/>
        </w:rPr>
        <w:t>TBK: https://mevzuat.adalet.gov.tr/mevzuat/103273</w:t>
      </w:r>
    </w:p>
    <w:p>
      <w:r>
        <w:rPr>
          <w:sz w:val="18"/>
        </w:rPr>
        <w:t>1. HD 2015/590 E., 2016/1166 K.: https://mevzuat.adalet.gov.tr/ictihat/204000500</w:t>
      </w:r>
    </w:p>
    <w:p>
      <w:r>
        <w:rPr>
          <w:sz w:val="18"/>
        </w:rPr>
        <w:t>7. HD 2022/4515 E., 2023/5493 K.: https://mevzuat.adalet.gov.tr/ictihat/986625500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Malikin Haksız İşgalciye Karşı Ecrimisil Dilekçesi</dc:title>
  <dc:subject>Haksız kullanım, dönem, kısmi istem ve kademeli faiz</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