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[YETKİLİ YER] SULH HUKUK MAHKEMESİNE</w:t>
      </w:r>
    </w:p>
    <w:p>
      <w:r>
        <w:t>DAVACI KİRACI: [Ad soyad/unvan, gerekli kimlik bilgileri ve adres]</w:t>
      </w:r>
    </w:p>
    <w:p>
      <w:r>
        <w:t>VEKİLİ (VARSA): [Gerçek vekilin adı soyadı ve adresi; yoksa çıkarın]</w:t>
      </w:r>
    </w:p>
    <w:p>
      <w:r>
        <w:t>DAVALI KİRAYA VEREN: [İade borçlusunun adı soyadı/unvanı ve adresi]</w:t>
      </w:r>
    </w:p>
    <w:p>
      <w:r>
        <w:t>KİRALANAN: [Tam adres ve konut/çatılı işyeri niteliği]</w:t>
      </w:r>
    </w:p>
    <w:p>
      <w:r>
        <w:t>ÖDENEN GÜVENCE: [Tutar TL, ödeme tarihi, alıcı ve belge]</w:t>
      </w:r>
    </w:p>
    <w:p>
      <w:r>
        <w:t>TALEP / DAVA DEĞERİ: [İade edilmeyen tam bakiye tutarı] TL</w:t>
      </w:r>
    </w:p>
    <w:p>
      <w:r>
        <w:t>KONU: Kira sözleşmesi sona erip kiralanan teslim edildiği halde davalı tarafından iade edilmeyen, doğrudan davalıya ödenmiş nakit güvence bakiyesinin faiziyle tahsili talebidir.</w:t>
      </w:r>
    </w:p>
    <w:p>
      <w:pPr>
        <w:keepNext/>
      </w:pPr>
      <w:r>
        <w:rPr>
          <w:b/>
        </w:rPr>
        <w:t>AÇIKLAMALAR</w:t>
      </w:r>
    </w:p>
    <w:p>
      <w:r>
        <w:t>1. [Başlangıç ve süre] kira sözleşmesinde güvence bedeli [madde ve tutar] olarak kararlaştırılmıştır. Davacı [tarih] tarihinde [tam tutar] TL’yi [gerçek alıcı]ya [dekont/makbuz/sözleşmedeki ödeme kabulü] ile ödemiştir. Bu ödeme, TBK 342 kapsamında bankada bloke edilmiş vadeli güvence hesabı değildir. Sözleşme ve ödeme belgesi Ek-1’dedir.</w:t>
      </w:r>
    </w:p>
    <w:p>
      <w:r>
        <w:t>2. Kira sözleşmesi [gerçek sona erme tarihi ve dayanağı] ile sona ermiştir. Kiralanan ve anahtarları [teslim tarihi] tarihinde [teslim alanın sıfatı ve belge] ile davalıya teslim edilmiştir. [Varsa teslim konusunda itiraz ve yanıtı] açıklanmaktadır. Fesih, taşınma ve fiilî/anahtar teslim tarihleri Ek-2’de ayrı gösterilmiştir.</w:t>
      </w:r>
    </w:p>
    <w:p>
      <w:r>
        <w:t>3. Kira, aidat ve yan giderlerin güvence kapsamındaki durumu [dönem, tutar, ödeme ve varsa uyuşmazlık]tır. Davalı [varsa ileri sürülen borç/zarar, tarih ve tutar] kesintisi ileri sürmektedir. Bu iddiaya yanıtım [ilgili ödeme, giriş/çıkış durumu, fotoğraf veya başka delil]dir. Olağan kullanımdan doğan eskime TBK 334 uyarınca kiracının sorumluluğunda değildir; varsa hasar bildiriminin TBK 335 yönünden tarihi ve içeriği [açıklama]dır.</w:t>
      </w:r>
    </w:p>
    <w:p>
      <w:r>
        <w:t>4. Ödenen güvence [tutar] TL; yapılan iade [tarih/tutar veya yapılmadığı]; kabul edilen mahsup [kalem ve tutar veya bulunmadığı]dır. İade edilmeyen ve dava konusu edilen bakiye [tam tutar] TL’dir. İhtilaflı kesinti [kalem/tutar] talep hesabında [açıklama] şeklinde gösterilmiştir. Hesap cetveli Ek-3’tedir; mükerrer tahsil istenmemektedir.</w:t>
      </w:r>
    </w:p>
    <w:p>
      <w:r>
        <w:t>5. Muaccel iade alacağı [ihtar metni/tarihi, davalıya ulaşma kaydı ve varsa ödeme süresi] ile istenmiş; [somut temerrüt tarihi ve dayanağı] itibarıyla ödeme yapılmamıştır. Önceden temerrüt kanıtı bulunmuyorsa bu iddia yazılmayarak faiz başlangıcı somut dava tarihi üzerinden kurulur. Faiz istemim aşağıdaki sonuç bölümündeki tek seçenektir.</w:t>
      </w:r>
    </w:p>
    <w:p>
      <w:r>
        <w:t>6. [Büro/dosya numarası ve başvuru tarihi] arabuluculuk tamamlanmış; [tarih] anlaşamama son tutanağı ektedir. Davacı/davalı ve güvence iadesi uyuşmazlığı tutanakla eşleşmektedir. Yetki dayanağı [HMK 6/10 kapsamında yer ve gerekçe veya geçerli yetki şartı]dır.</w:t>
      </w:r>
    </w:p>
    <w:p>
      <w:pPr>
        <w:keepNext/>
      </w:pPr>
      <w:r>
        <w:rPr>
          <w:b/>
        </w:rPr>
        <w:t>HUKUKİ NEDENLER</w:t>
      </w:r>
    </w:p>
    <w:p>
      <w:r>
        <w:t>TBK m.117, 146, 149, 334–335, 342 ve varsa takas hükümleri; HMK m.4, 6, 10, 26, 119, 190, 194, 200–203, 316–318; 6325 sayılı Kanun m.18/A–18/B; ilgili faiz mevzuatı ve diğer hükümler.</w:t>
      </w:r>
    </w:p>
    <w:p>
      <w:pPr>
        <w:keepNext/>
      </w:pPr>
      <w:r>
        <w:rPr>
          <w:b/>
        </w:rPr>
        <w:t>DELİLLER VE EKLER</w:t>
      </w:r>
    </w:p>
    <w:p>
      <w:r>
        <w:t>Ek-1: Sözleşme ve gerçek ödeme belgesi; Ek-2: Sona erme/anahtar teslimi ve giriş-çıkış kayıtları; Ek-3: Bakiye, iade, borç ve kesinti cetveli ile ödeme belgeleri; Ek-4: [Varsa iade ihtarı ve ulaşma belgesi]; Ek-5: Arabuluculuk son tutanağı. [Somut olaya uygun fotoğraf, yazışma, tanık ve bilirkişi]. Celp: [Kurum, kayıt/dönem ve ispat konusu].</w:t>
      </w:r>
    </w:p>
    <w:p>
      <w:pPr>
        <w:keepNext/>
      </w:pPr>
      <w:r>
        <w:rPr>
          <w:b/>
        </w:rPr>
        <w:t>SONUÇ VE İSTEM</w:t>
      </w:r>
    </w:p>
    <w:p>
      <w:r>
        <w:t>Dava konusu [tam bakiye] TL güvence alacağının [tek uygun seçeneği bırakın: belgelenen temerrüt tarihi / dava tarihi] tarihinden itibaren uygulanacak yasal faiziyle davalıdan tahsiline; yargılama giderleri ile varsa vekâlet ücretinin davalıya yükletilmesine karar verilmesini talep ederim.</w:t>
      </w:r>
    </w:p>
    <w:p>
      <w:r>
        <w:t>[Gerçek tarih] — Davacı / varsa gerçek vekili [Ad soyad ve imza]</w:t>
      </w:r>
    </w:p>
    <w:p>
      <w:pPr>
        <w:pageBreakBefore/>
      </w:pPr>
      <w:r>
        <w:rPr>
          <w:b/>
        </w:rPr>
        <w:t>HAZIRLIK NOTLARI — DİLEKÇEYE EKLENMEZ</w:t>
      </w:r>
    </w:p>
    <w:p>
      <w:r>
        <w:rPr>
          <w:b/>
        </w:rPr>
        <w:t xml:space="preserve">Doğru talep: </w:t>
      </w:r>
      <w:r>
        <w:t>Bu form kiraya verene doğrudan verilmiş TL nakit güvencenin bilinen tam bakiyesinin tahsili içindir. Bankadaki bloke güvence hesabının çözülmesi, yabancı para, teminat çeki/mektubu veya devam eden icra takibinde itirazın iptali aynı istem değildir. Parayı alan, iade borçlusu ve sözleşme/devrin etkisi belgelenir; yeni maliki otomatik borçlu saymayın.</w:t>
      </w:r>
    </w:p>
    <w:p>
      <w:r>
        <w:rPr>
          <w:b/>
        </w:rPr>
        <w:t xml:space="preserve">Banka güvencesi: </w:t>
      </w:r>
      <w:r>
        <w:t>TBK 342 konut/çatılı işyerinde üç aylık kira sınırı ve vadeli banka güvencesini düzenler. Banka iki tarafın rızası, kesinleşen takip veya kesinleşmiş mahkeme kararıyla iade yapabilir. Sözleşmenin sona ermesini izleyen üç ay içinde kiraya verenin ilgili dava/takibi bankaya yazılı bildirmemesi halinde kiracının istemiyle iade mekanizması ayrıca işler. Bu üç ay genel dava süresi veya her nakit depozitoda zorunlu bekleme değildir.</w:t>
      </w:r>
    </w:p>
    <w:p>
      <w:r>
        <w:rPr>
          <w:b/>
        </w:rPr>
        <w:t xml:space="preserve">Sona erme ve teslim: </w:t>
      </w:r>
      <w:r>
        <w:t>Sözleşmenin sona ermesi, evden çıkma ve anahtarların yetkili kişiye teslimi ayrı belgelenir. Anahtarı kime ve ne zaman verdiğinizi gösterin; taşınma tarihi tek başına teslim kanıtı değildir. İade koşulları sözleşme ve varsa protokollerle birlikte okunur.</w:t>
      </w:r>
    </w:p>
    <w:p>
      <w:r>
        <w:rPr>
          <w:b/>
        </w:rPr>
        <w:t xml:space="preserve">Kesinti ve eskime: </w:t>
      </w:r>
      <w:r>
        <w:t>Kira/yan gider borcuyla hasar ayrı kalemdir. Her kesintinin miktarı, dayanağı ve güvenceyle ilişkisi incelenir. Olağan kullanım eskimesi kiracıya otomatik yüklenmez. Geri vermede belirlenebilen ayıp/eksiklik için hemen yazılı bildirim; gizli eksiklik için tespit sonrası hemen yazılı bildirim TBK 335 çerçevesinde kontrol edilir. Sonradan düzenlenen fatura tek başına sorumluluğu kanıtlamaz.</w:t>
      </w:r>
    </w:p>
    <w:p>
      <w:r>
        <w:rPr>
          <w:b/>
        </w:rPr>
        <w:t xml:space="preserve">Bakiye ve güncelleme: </w:t>
      </w:r>
      <w:r>
        <w:t>Ödenen para, gerçek iade ve kabul edilen mahsup aynı cetvelde gösterilir. İki aylık kira kadar verilmesi her olayda çıkıştaki iki aylık kiraya otomatik çevrileceği anlamına gelmez. Sözleşme, banka getirisi ve ayrı değer koruma isteminin koşulları incelenir. Bu form anapara bakiyesi ve temerrüt faizidir; ayrıca yeniden değerleme veya faiz üstü zarar istemi içermez.</w:t>
      </w:r>
    </w:p>
    <w:p>
      <w:r>
        <w:rPr>
          <w:b/>
        </w:rPr>
        <w:t xml:space="preserve">Faiz ve süre: </w:t>
      </w:r>
      <w:r>
        <w:t>Faiz için muacceliyet, ihtarın ulaşması/ödeme süresi ve temerrüt dayanağı gösterilir. Faiz her dosyada ilk depozito ödeme gününden başlamaz. Sabit güncel oran varsaymayın. Sözleşmesel nakit güvence iadesinde genel zamanaşımı TBK 146/149 ile muacceliyetten hesaplanır; başlangıç depozito verme tarihi değildir. İlgili sözleşme, kesilme/durma ve arabuluculuk etkisi ayrıca incelenir.</w:t>
      </w:r>
    </w:p>
    <w:p>
      <w:r>
        <w:rPr>
          <w:b/>
        </w:rPr>
        <w:t xml:space="preserve">Başvuru: </w:t>
      </w:r>
      <w:r>
        <w:t>Sulh hukuk görevi ve HMK 6/10 yetkisi somut belirlenir; kiralanan yerini otomatik kesin yetki saymayın. Dava öncesi arabuluculuk tamamlanır, son tutanak eklenir. Gerçek taraf, tam tutar ve ekler kontrol edilir. Önceden icra takibi varsa uygun dava yolu yeniden seçilir; genel alacak formu doğrudan kopyalanmaz.</w:t>
      </w:r>
    </w:p>
    <w:p>
      <w:r>
        <w:rPr>
          <w:b/>
        </w:rPr>
        <w:t xml:space="preserve">Sunum: </w:t>
      </w:r>
      <w:r>
        <w:t>Köşeli alanları gerçek belgelerle doldurun. Olmayan ihtar, delil ve vekil satırını çıkarın; aynı gider istemini tekrarlamayın. İlk dava formuna sahte dosya numarası ve hazır imza koymayın. Hazırlık sayfasını ayırın; UYAP/fiziki mahkeme sunumunda kayıt saklayın. KEP bildirimi tek başına dava açılması değildir.</w:t>
      </w:r>
    </w:p>
    <w:p>
      <w:r>
        <w:t>Belge ve resmî kaynak karşılaştırması: 8 Ekim 2026</w:t>
      </w:r>
    </w:p>
    <w:p>
      <w:r>
        <w:rPr>
          <w:sz w:val="18"/>
        </w:rPr>
        <w:t>TBK 117, 146, 149, 334–335, 342: https://mevzuat.adalet.gov.tr/mevzuat/103273</w:t>
      </w:r>
    </w:p>
    <w:p>
      <w:r>
        <w:rPr>
          <w:sz w:val="18"/>
        </w:rPr>
        <w:t>3. HD 2025/3426 E., 2026/1556 K., 24.03.2026: teslim ve iade koşulları</w:t>
      </w:r>
    </w:p>
    <w:p>
      <w:r>
        <w:rPr>
          <w:sz w:val="18"/>
        </w:rPr>
        <w:t>https://mevzuat.adalet.gov.tr/ictihat/1217369300</w:t>
      </w:r>
    </w:p>
    <w:p>
      <w:r>
        <w:rPr>
          <w:sz w:val="18"/>
        </w:rPr>
        <w:t>HMK: https://mevzuat.adalet.gov.tr/mevzuat/103103</w:t>
      </w:r>
    </w:p>
    <w:p>
      <w:r>
        <w:rPr>
          <w:sz w:val="18"/>
        </w:rPr>
        <w:t>Arabuluculuk: https://mevzuat.adalet.gov.tr/mevzuat/104320</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Nakit Kira Depozitosunun İadesi Dilekçesi</dc:title>
  <dc:subject>Güvence bakiyesi, teslim, kesinti, temerrüt ve arabuluculuk</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