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Yayım Sözleşmesinden Önce Önceki Yayım Bildirimi</w:t>
      </w:r>
    </w:p>
    <w:p>
      <w:pPr>
        <w:widowControl/>
      </w:pPr>
      <w:r>
        <w:t>[YENİ YAYIMCININ TAM UNVANINA]</w:t>
        <w:br/>
        <w:t>[Yetkili birim ve bildirim adresi]</w:t>
      </w:r>
    </w:p>
    <w:p>
      <w:pPr>
        <w:widowControl/>
      </w:pPr>
      <w:r>
        <w:t>BİLDİREN YAYIMLATAN: [Ad/unvan, adres ve gerçek sıfat]</w:t>
        <w:br/>
        <w:t>TEMSİLCİ: [Varsa ad ve temsil dayanağı]</w:t>
        <w:br/>
        <w:t>ESER: [Başlık, tür, sürüm ve ilgili görüşme referansı]</w:t>
        <w:br/>
        <w:t>KONU: TBK m.489’un son fıkrası kapsamında yayım sözleşmesi yapılmadan önce eserin önceki yayım ve başka yayımcıya bırakılma bilgilerinin bildirilmesidir.</w:t>
      </w:r>
    </w:p>
    <w:p>
      <w:pPr>
        <w:widowControl/>
      </w:pPr>
      <w:r>
        <w:t>AÇIKLAMALAR</w:t>
      </w:r>
    </w:p>
    <w:p>
      <w:pPr>
        <w:widowControl/>
      </w:pPr>
      <w:r>
        <w:t>1. [Görüşme/taslak tarih ve referansı] kapsamında yayım sözleşmesi görüşülen [eser ve sürüm] bakımından yayımlatan sıfatım [gerçek hak/haleflik belgesi] ile gösterilmektedir. İşbu bildirim, yeni yayım sözleşmesi yapılmadan önce sunulmaktadır.</w:t>
      </w:r>
    </w:p>
    <w:p>
      <w:pPr>
        <w:widowControl/>
      </w:pPr>
      <w:r>
        <w:t>2. Eserin [tamamı/belirli bölümün adı ve tanıtıcı kaydı], [önceki yayımcının tam unvanı]na [gerçek tarih ve işlem belgesi] kapsamında yayımlanmak üzere bırakılmıştır. Bu işlemin kapsamı ve mevcut durumuna ilişkin [gerçek sözleşme ve ilgili kayıtlar] Ek-1’dedir. [Bu olgu dosyada yoksa bu paragraf çıkarılır.]</w:t>
      </w:r>
    </w:p>
    <w:p>
      <w:pPr>
        <w:widowControl/>
      </w:pPr>
      <w:r>
        <w:t>3. Eserin [tamamı/belirli bölüm], bilgim altında [gerçek yayım yeri, başlık, tarih ve tanıtıcı kayıt] üzerinden yayımlanmıştır. Önceki yayımın kapsamını ve görüşülen eser sürümüyle ilişkisini gösteren kayıtlar Ek-2’dedir. [Bu olgu dosyada yoksa bu paragraf çıkarılır.]</w:t>
      </w:r>
    </w:p>
    <w:p>
      <w:pPr>
        <w:widowControl/>
      </w:pPr>
      <w:r>
        <w:t>4. Ekli envanterde her önceki işlem ilgili eser bölümü ve dayanak belgesiyle eşleştirilmiştir. Önceki hakların kapsamı veya sona ermesi bakımından yalnız dosyada belirtilen gerçek belgeler esas alınmalıdır. Bu bildirim, önceki yayımcı haklarının kaldırıldığı veya yeni yayımcıya kendiliğinden hak devredildiği beyanı değildir.</w:t>
      </w:r>
    </w:p>
    <w:p>
      <w:pPr>
        <w:widowControl/>
      </w:pPr>
      <w:r>
        <w:rPr>
          <w:b/>
        </w:rPr>
        <w:t>BİLDİRİM VE İSTEM: Yukarıda ve eklerde açıklanan gerçek olguları TBK m.489’un son fıkrası uyarınca sözleşme yapılmadan önce bilgilerinize sunarım. Bildirim ile eklerinin ilgili sözleşme görüşme dosyasına alınmasını, alınan nüshanın kaydının korunmasını ve yeni sözleşmede görüşülecek eser/kapsam bakımından bu kayıtlarla yapılacak açıklamanın tarafıma iletilmesini rica ederim.</w:t>
      </w:r>
    </w:p>
    <w:p>
      <w:pPr>
        <w:widowControl/>
      </w:pPr>
      <w:r>
        <w:t>EKLER: 1. Önceki yayımcıya bırakma kaydı ve kapsam belgeleri. 2. Gerçekleşmiş yayım kayıtları ve ilgili metin. 3. Eser/sürüm/bölüm envanteri. 4. Bildirenin gerçek sıfat ve temsil belgesi. [Yalnız sunulan ekler bırakılır; numaralar uyarlanır.]</w:t>
      </w:r>
    </w:p>
    <w:p>
      <w:pPr>
        <w:widowControl/>
      </w:pPr>
      <w:r>
        <w:t>Tarih: [Gerçek gönderim günü]</w:t>
        <w:br/>
        <w:t>Yayımlatan/yetkili temsilci: [Ad, sıfat ve gerçek imza]</w:t>
      </w:r>
    </w:p>
    <w:p>
      <w:r>
        <w:br w:type="page"/>
      </w:r>
    </w:p>
    <w:p>
      <w:pPr>
        <w:pStyle w:val="Heading1"/>
      </w:pPr>
      <w:r>
        <w:t>Uyarlama ve İşlem Kontrolü</w:t>
      </w:r>
    </w:p>
    <w:p>
      <w:r>
        <w:rPr>
          <w:b/>
        </w:rPr>
        <w:t xml:space="preserve">1. Gerçek bildirim zamanı: </w:t>
      </w:r>
      <w:r>
        <w:t>TBK m.489 son fıkrası açıklamayı yeni sözleşme yapılmadan önce ister. Gönderim ve ulaşma kaydı korunur. Sözleşme sonrası belge geçmişte iletilmiş gibi tarihlenmez. Metin tek başına yazılı yayım sözleşmesi değildir.</w:t>
      </w:r>
    </w:p>
    <w:p>
      <w:r>
        <w:rPr>
          <w:b/>
        </w:rPr>
        <w:t xml:space="preserve">2. İki olgu: </w:t>
      </w:r>
      <w:r>
        <w:t>Başka yayımcıya yayımlanmak üzere bırakma ve yayımlatanın bilgisi altında gerçekleşmiş yayım ayrı açıklanır. Hangisi dosyada yoksa ilgili paragraf çıkarılır. Bütün seçenekler gerçekmiş gibi birlikte bırakılmaz.</w:t>
      </w:r>
    </w:p>
    <w:p>
      <w:r>
        <w:rPr>
          <w:b/>
        </w:rPr>
        <w:t xml:space="preserve">3. Eser ve bölüm: </w:t>
      </w:r>
      <w:r>
        <w:t>Eser başlığı, sürümü ve önceki bölümün sınırı belirli tutulur. Başlık değişmişse bağlantı açıklanır. İlgisiz başka eserlerin çalışma geçmişi, görüşülen eserin önceki yayım bilgisi yerine geçmez.</w:t>
      </w:r>
    </w:p>
    <w:p>
      <w:r>
        <w:rPr>
          <w:b/>
        </w:rPr>
        <w:t xml:space="preserve">4. Ekler ve mevcut hak: </w:t>
      </w:r>
      <w:r>
        <w:t>Önceki sözleşme, sona erme iddiasının gerçek belgesi ve yayım kayıtları kendi nitelikleriyle sunulur. Açıklama eski hakları sona erdirmez. Matbaa hizmeti kaydı ile yayımcıya bırakma ilişkisi karıştırılmaz.</w:t>
      </w:r>
    </w:p>
    <w:p>
      <w:r>
        <w:rPr>
          <w:b/>
        </w:rPr>
        <w:t xml:space="preserve">5. Sıfat ve hak kapsamı: </w:t>
      </w:r>
      <w:r>
        <w:t>TBK m.487 eser sahibi veya halefi sıfatını; m.488 yazılı şekli; m.489 ilk iki fıkrası hak geçişinin ölçü/süre sınırını ve hak bulunmaması sorumluluğunu düzenler. Önceki yayımı açıklamak bulunmayan hakkı oluşturmaz.</w:t>
      </w:r>
    </w:p>
    <w:p>
      <w:r>
        <w:rPr>
          <w:b/>
        </w:rPr>
        <w:t xml:space="preserve">6. Belge sürümü: </w:t>
      </w:r>
      <w:r>
        <w:t>Gönderilecek metin ve ekler aynı envanterle kontrol edilir. Yeni eser sürümü veya ek açıklama önceki bildirimin dosyasını sessizce değiştirmez. Görüşülen sözleşme referansı ve alındı kaydı korunur.</w:t>
      </w:r>
    </w:p>
    <w:p>
      <w:r>
        <w:rPr>
          <w:b/>
        </w:rPr>
        <w:t xml:space="preserve">7. Tarih ve gerçek imza: </w:t>
      </w:r>
      <w:r>
        <w:t>Tarihi gerçek gönderim gününe uyarlayın. Gerçek bildirenin temsil yetkisini kontrol edin. Güvenli elektronik imza gerçekten kullanılmadan e-imzalıdır yazmayın. Bu not sayfasını nihai gönderimden çıkarın.</w:t>
      </w:r>
    </w:p>
    <w:p>
      <w:r>
        <w:t>Genel ve düzenlenebilir örnek. Doğrudan dayanak: TBK m.489 son fıkra. İlgili hükümler: m.487–489. Güncel resmî metin 9 Ekim 2026 tarihinde okundu. Hukuki kapsam/yazar: Av. Halil Bakırcı, Mersin Barosu 3472. Eser, önceki sözleşme ve yayım kayıtları birlikte değerlendirilir.</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Yayım Sözleşmesinden Önce Önceki Yayım Bildirimi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