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Saklayanın saklamadan doğan zarar talebi</w:t>
      </w:r>
    </w:p>
    <w:p>
      <w:pPr>
        <w:pStyle w:val="Subtitle"/>
      </w:pPr>
      <w:r>
        <w:rPr>
          <w:color w:val="000000"/>
        </w:rPr>
        <w:t>Genel saklama ilişkisi • TBK 562 ikinci fıkra</w:t>
      </w:r>
    </w:p>
    <w:p>
      <w:r>
        <w:rPr>
          <w:color w:val="000000"/>
        </w:rPr>
        <w:t>[SAKLATANIN GERÇEK ADI / TİCARET UNVANI]’NA</w:t>
      </w:r>
    </w:p>
    <w:p>
      <w:r>
        <w:rPr>
          <w:color w:val="000000"/>
        </w:rPr>
        <w:t>TALEP EDEN SAKLAYAN: [Gerçek ad / unvan, adres ve yetkili]</w:t>
        <w:br/>
        <w:t>MUHATAP SAKLATAN: [Gerçek ad / unvan ve adres]</w:t>
        <w:br/>
        <w:t>KONU: TBK m.562 ikinci fıkra uyarınca saklamadan doğan belirli zararın giderilmesi talebidir.</w:t>
      </w:r>
    </w:p>
    <w:p>
      <w:r>
        <w:rPr>
          <w:color w:val="000000"/>
        </w:rPr>
        <w:t>1. [Gerçek anlaşma tarihi / referansı] kapsamında [ayırt edici eşya bilgisi] tarafımıza [gerçek teslim tarihi] tarihinde korunmak üzere bırakılmıştır. Saklama ilişkisi, kapsamı ve koruma yeri [gerçek sözleşme / teslim kayıtları] ile gösterilmektedir.</w:t>
      </w:r>
    </w:p>
    <w:p>
      <w:r>
        <w:rPr>
          <w:color w:val="000000"/>
        </w:rPr>
        <w:t>2. [Gerçek olay tarihi ve yeri] tarihinde gerçekleşen [belgeli olay] nedeniyle tarafımıza ait [zarar gören malvarlığı unsuru] üzerinde [gerçek zarar] oluşmuştur. Olayın saklama ilişkisiyle bağlantısı [gerçek açıklama ve belgeler] ile gösterilmiştir. Teslim ve bildirim kayıtları eklenmiştir.</w:t>
      </w:r>
    </w:p>
    <w:p>
      <w:r>
        <w:rPr>
          <w:color w:val="000000"/>
        </w:rPr>
        <w:t>3. Gerçek zarar kalemleri, belgeleri, aynı kalemi karşılayan mevcut ödemeler ve kalan tutar ek hesap çizelgesindedir. Talep edilen bakiye [belgeli gerçek tutar ve para birimi] şeklindedir. Saklama ücreti ve TBK m.562 birinci fıkraya ait zorunlu masraf bu tutara tekrar eklenmemiştir.</w:t>
      </w:r>
    </w:p>
    <w:p>
      <w:r>
        <w:rPr>
          <w:color w:val="000000"/>
        </w:rPr>
        <w:t>4. TBK m.562 ikinci fıkra, saklatanın kendi kusurundan ileri gelmediğini ispat etmedikçe saklayanın saklamadan doğan zararlarını gidermekle yükümlü olduğunu düzenler. Dayandığımız gerçek olay ve kayıtlar yukarıda gösterilmiştir. Kusur, olay bağlantısı veya hesap bakımından ileri sürdüğünüz somut itiraz ve belgelerin tarafımıza iletilmesini isteriz.</w:t>
      </w:r>
    </w:p>
    <w:p>
      <w:r>
        <w:rPr>
          <w:color w:val="000000"/>
        </w:rPr>
        <w:t>TALEP: Ekli gerçek hesap ve belgeler kapsamında belirtilen [gerçek bakiye] zarar tutarının giderilmesini; olay veya kalemlere ilişkin cevabınızın [gerçek iletişim yolu] üzerinden bildirilmesini talep ederiz. Yapılacak her ödeme ilgili gerçek kaleme işlenecek ve bakiye güncellenecektir.</w:t>
      </w:r>
    </w:p>
    <w:p>
      <w:r>
        <w:rPr>
          <w:b/>
          <w:color w:val="000000"/>
        </w:rPr>
        <w:t>EKLER:</w:t>
      </w:r>
      <w:r>
        <w:rPr>
          <w:color w:val="000000"/>
        </w:rPr>
        <w:t xml:space="preserve"> [Saklama sözleşmesi ve teslim kaydı]; [gerçek olay ve tespit belgeleri]; [hasar, onarım ve ödeme belgeleri]; [zarar ve kalan tutar çizelgesi]; [ilgili gerçek yazışmalar]. Yalnız mevcut ekler kullanılır.</w:t>
      </w:r>
    </w:p>
    <w:p>
      <w:r>
        <w:rPr>
          <w:color w:val="000000"/>
        </w:rPr>
        <w:t>Tarih: [Gerçek gönderim tarihi]</w:t>
        <w:br/>
        <w:t>Talep Eden Saklayan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Taraf</w:t>
      </w:r>
    </w:p>
    <w:p>
      <w:r>
        <w:rPr>
          <w:color w:val="000000"/>
        </w:rPr>
        <w:t>Talep eden gerçek saklayan, muhatap gerçek saklatandır. Şirket ve yetkili sıfatlarını ayrı gösterin.</w:t>
      </w:r>
    </w:p>
    <w:p>
      <w:pPr>
        <w:pStyle w:val="Heading2"/>
      </w:pPr>
      <w:r>
        <w:rPr>
          <w:color w:val="000000"/>
        </w:rPr>
        <w:t>İlişki</w:t>
      </w:r>
    </w:p>
    <w:p>
      <w:r>
        <w:rPr>
          <w:color w:val="000000"/>
        </w:rPr>
        <w:t>Gerçek genel saklama anlaşmasını ve teslimi ekleyin. Kullanım, taşıma veya özel saklama rejimini otomatik aynı saymayın.</w:t>
      </w:r>
    </w:p>
    <w:p>
      <w:pPr>
        <w:pStyle w:val="Heading2"/>
      </w:pPr>
      <w:r>
        <w:rPr>
          <w:color w:val="000000"/>
        </w:rPr>
        <w:t>Olay</w:t>
      </w:r>
    </w:p>
    <w:p>
      <w:r>
        <w:rPr>
          <w:color w:val="000000"/>
        </w:rPr>
        <w:t>Gerçek zarar tarihi, etkilenen malvarlığı unsuru ve saklama bağlantısını gösterin. Yapılmamış tespit yazmayın.</w:t>
      </w:r>
    </w:p>
    <w:p>
      <w:pPr>
        <w:pStyle w:val="Heading2"/>
      </w:pPr>
      <w:r>
        <w:rPr>
          <w:color w:val="000000"/>
        </w:rPr>
        <w:t>İspat</w:t>
      </w:r>
    </w:p>
    <w:p>
      <w:r>
        <w:rPr>
          <w:color w:val="000000"/>
        </w:rPr>
        <w:t>562 ikinci fıkradaki saklatanın kendi kusurundan ileri gelmediğini ispat imkânını koruyun. Saklayanın davranış ve önlemlerini gizlemeyin.</w:t>
      </w:r>
    </w:p>
    <w:p>
      <w:pPr>
        <w:pStyle w:val="Heading2"/>
      </w:pPr>
      <w:r>
        <w:rPr>
          <w:color w:val="000000"/>
        </w:rPr>
        <w:t>Hesap</w:t>
      </w:r>
    </w:p>
    <w:p>
      <w:r>
        <w:rPr>
          <w:color w:val="000000"/>
        </w:rPr>
        <w:t>Gerçek zarar, karşılayan ödeme ve bakiye hesabı kullanın. Ücret ve zorunlu masrafı aynı zarara tekrar eklemeyin.</w:t>
      </w:r>
    </w:p>
    <w:p>
      <w:pPr>
        <w:pStyle w:val="Heading2"/>
      </w:pPr>
      <w:r>
        <w:rPr>
          <w:color w:val="000000"/>
        </w:rPr>
        <w:t>Talep</w:t>
      </w:r>
    </w:p>
    <w:p>
      <w:r>
        <w:rPr>
          <w:color w:val="000000"/>
        </w:rPr>
        <w:t>Doğrudan başvurudur; mahkeme dilekçesi yerine geçmez. Kanunda bulunmayan sabit cevap süresi üretmeyin.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