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55" w:line="300" w:lineRule="auto"/>
      </w:pPr>
      <w:r>
        <w:rPr>
          <w:b/>
          <w:rFonts w:ascii="Cambria" w:hAnsi="Cambria"/>
          <w:sz w:val="23"/>
        </w:rPr>
        <w:t xml:space="preserve">[YETKİLİ İL/İLÇE] TÜKETİCİ HAKEM HEYETİ BAŞKANLIĞINA</w:t>
      </w:r>
    </w:p>
    <w:p>
      <w:pPr>
        <w:spacing w:after="92" w:line="300" w:lineRule="auto"/>
      </w:pPr>
      <w:r>
        <w:rPr>
          <w:rFonts w:ascii="Cambria" w:hAnsi="Cambria"/>
          <w:sz w:val="21"/>
        </w:rPr>
        <w:t xml:space="preserve"/>
      </w:r>
    </w:p>
    <w:p>
      <w:pPr>
        <w:spacing w:after="92" w:line="300" w:lineRule="auto"/>
      </w:pPr>
      <w:r>
        <w:rPr>
          <w:rFonts w:ascii="Cambria" w:hAnsi="Cambria"/>
          <w:sz w:val="21"/>
        </w:rPr>
        <w:t xml:space="preserve">BAŞVURAN: [Ad soyad, T.C. kimlik numarası, tebligat adresi, telefon ve e-posta]</w:t>
      </w:r>
    </w:p>
    <w:p>
      <w:pPr>
        <w:spacing w:after="92" w:line="300" w:lineRule="auto"/>
      </w:pPr>
      <w:r>
        <w:rPr>
          <w:rFonts w:ascii="Cambria" w:hAnsi="Cambria"/>
          <w:sz w:val="21"/>
        </w:rPr>
        <w:t xml:space="preserve">VEKİLİ: Av. Halil BAKIRCI [dosyada vekâletname bulunması ve başvuranın temsil edilmesi halinde]</w:t>
      </w:r>
    </w:p>
    <w:p>
      <w:pPr>
        <w:spacing w:after="92" w:line="300" w:lineRule="auto"/>
      </w:pPr>
      <w:r>
        <w:rPr>
          <w:rFonts w:ascii="Cambria" w:hAnsi="Cambria"/>
          <w:sz w:val="21"/>
        </w:rPr>
        <w:t xml:space="preserve">KARŞI TARAF: [Şarj ağı işletmecisinin tam ticaret unvanı ve tebligat adresi]</w:t>
      </w:r>
    </w:p>
    <w:p>
      <w:pPr>
        <w:spacing w:after="92" w:line="300" w:lineRule="auto"/>
      </w:pPr>
      <w:r>
        <w:rPr>
          <w:rFonts w:ascii="Cambria" w:hAnsi="Cambria"/>
          <w:sz w:val="21"/>
        </w:rPr>
        <w:t xml:space="preserve">UYUŞMAZLIK DEĞERİ: [Kesinleşen ve henüz iade edilmeyen net ayrı ücret] TL</w:t>
      </w:r>
    </w:p>
    <w:p>
      <w:pPr>
        <w:spacing w:after="92" w:line="300" w:lineRule="auto"/>
      </w:pPr>
      <w:r>
        <w:rPr>
          <w:rFonts w:ascii="Cambria" w:hAnsi="Cambria"/>
          <w:sz w:val="21"/>
        </w:rPr>
        <w:t xml:space="preserve">KONU: Şarj hizmeti için enerji bedelinin dışında tahsil edilen [işlem başlatma/bağlanma/şarj ekipmanı kullanımı] bedelinin Şarj Hizmeti Yönetmeliği m.25/1 uyarınca iadesi istemidir.</w:t>
      </w:r>
    </w:p>
    <w:p>
      <w:pPr>
        <w:spacing w:after="92" w:line="300" w:lineRule="auto"/>
      </w:pPr>
      <w:r>
        <w:rPr>
          <w:rFonts w:ascii="Cambria" w:hAnsi="Cambria"/>
          <w:sz w:val="21"/>
        </w:rPr>
        <w:t xml:space="preserve"/>
      </w:r>
    </w:p>
    <w:p>
      <w:pPr>
        <w:spacing w:after="155" w:line="300" w:lineRule="auto"/>
      </w:pPr>
      <w:r>
        <w:rPr>
          <w:b/>
          <w:rFonts w:ascii="Cambria" w:hAnsi="Cambria"/>
          <w:sz w:val="23"/>
        </w:rPr>
        <w:t xml:space="preserve">AÇIKLAMALAR</w:t>
      </w:r>
    </w:p>
    <w:p>
      <w:pPr>
        <w:spacing w:after="92" w:line="300" w:lineRule="auto"/>
      </w:pPr>
      <w:r>
        <w:rPr>
          <w:rFonts w:ascii="Cambria" w:hAnsi="Cambria"/>
          <w:sz w:val="21"/>
        </w:rPr>
        <w:t xml:space="preserve">1. [Tarih ve saat] tarihinde [istasyonun adı, il/ilçe, soket kodu] konumundaki şarj ünitesinde, [uygulama/hesap tanımı] üzerinden [gerçek şarj oturum numarası] ile hizmet aldım.</w:t>
      </w:r>
    </w:p>
    <w:p>
      <w:pPr>
        <w:spacing w:after="92" w:line="300" w:lineRule="auto"/>
      </w:pPr>
      <w:r>
        <w:rPr>
          <w:rFonts w:ascii="Cambria" w:hAnsi="Cambria"/>
          <w:sz w:val="21"/>
        </w:rPr>
        <w:t xml:space="preserve">2. Oturumda elektrikli araca aktarılan enerji miktarı [gerçek kWh] olarak kaydedilmiştir. İlgili oturumun ilan edilmiş birim şarj hizmeti fiyatı [gerçek tutar] TL/kWh olup, enerji bedeli [gerçek tutar] TL olarak hesaplanmıştır.</w:t>
      </w:r>
    </w:p>
    <w:p>
      <w:pPr>
        <w:spacing w:after="92" w:line="300" w:lineRule="auto"/>
      </w:pPr>
      <w:r>
        <w:rPr>
          <w:rFonts w:ascii="Cambria" w:hAnsi="Cambria"/>
          <w:sz w:val="21"/>
        </w:rPr>
        <w:t xml:space="preserve">3. Bununla birlikte [fatura tarihi ve numarası] numaralı faturada enerji hizmet bedeli dışında [faturadaki ayrı satırın tam adı] açıklaması ile ayrıca [gerçek tutar] TL tahsil edilmiştir.</w:t>
      </w:r>
    </w:p>
    <w:p>
      <w:pPr>
        <w:spacing w:after="92" w:line="300" w:lineRule="auto"/>
      </w:pPr>
      <w:r>
        <w:rPr>
          <w:rFonts w:ascii="Cambria" w:hAnsi="Cambria"/>
          <w:sz w:val="21"/>
        </w:rPr>
        <w:t xml:space="preserve">4. İtirazım, aktarılan enerjiye dayalı şarj hizmeti bedelinden bağımsız olarak tahsil edilen [ilgili kalem] hakkındadır. Ayrı tahsilatın hesap ve ödeme belgeleri dilekçe eklerinde yer almaktadır.</w:t>
      </w:r>
    </w:p>
    <w:p>
      <w:pPr>
        <w:spacing w:after="92" w:line="300" w:lineRule="auto"/>
      </w:pPr>
      <w:r>
        <w:rPr>
          <w:rFonts w:ascii="Cambria" w:hAnsi="Cambria"/>
          <w:sz w:val="21"/>
        </w:rPr>
        <w:t xml:space="preserve">5. Şarj Hizmeti Yönetmeliği m.25/1'e göre şarj hizmeti fiyatı elektrikli araca aktarılan enerji birimi üzerinden TL/kWh cinsinden uygulanır. Şarj hizmeti fiyatına göre hesaplanan tutarın dışında bağlanma, işlem başlatma veya şarj ekipmanı kullanım bedeli gibi ayrı bir bedel talep edilemez.</w:t>
      </w:r>
    </w:p>
    <w:p>
      <w:pPr>
        <w:spacing w:after="92" w:line="300" w:lineRule="auto"/>
      </w:pPr>
      <w:r>
        <w:rPr>
          <w:rFonts w:ascii="Cambria" w:hAnsi="Cambria"/>
          <w:sz w:val="21"/>
        </w:rPr>
        <w:t xml:space="preserve">6. İhtilaflı kalem, [somut işlem ve faturadaki ayrıştırılmış ücrete ilişkin gerçek açıklama] nedeniyle bu düzenlemenin kapsamındadır. Düzenlemede ayrı kurallara tabi rezervasyon veya şarj tamamlandıktan sonraki işgaliye bedelini bu kalemle karıştırmıyorum; iddiamın konusu fatura üzerinde belirtilen bağımsız işlem bedelidir.</w:t>
      </w:r>
    </w:p>
    <w:p>
      <w:pPr>
        <w:spacing w:after="92" w:line="300" w:lineRule="auto"/>
      </w:pPr>
      <w:r>
        <w:rPr>
          <w:rFonts w:ascii="Cambria" w:hAnsi="Cambria"/>
          <w:sz w:val="21"/>
        </w:rPr>
        <w:t xml:space="preserve">7. [Varsa başvuru tarihi] tarihinde şarj ağı işletmecisine [başvuru kanalı] yoluyla iade talebinde bulundum. Şirketten [gerçek cevap; cevap yoksa bu durum] şeklinde dönüş aldım. Yazışmalar ekte sunulmuştur.</w:t>
      </w:r>
    </w:p>
    <w:p>
      <w:pPr>
        <w:spacing w:after="92" w:line="300" w:lineRule="auto"/>
      </w:pPr>
      <w:r>
        <w:rPr>
          <w:rFonts w:ascii="Cambria" w:hAnsi="Cambria"/>
          <w:sz w:val="21"/>
        </w:rPr>
        <w:t xml:space="preserve"/>
      </w:r>
    </w:p>
    <w:p>
      <w:pPr>
        <w:spacing w:after="155" w:line="300" w:lineRule="auto"/>
      </w:pPr>
      <w:r>
        <w:rPr>
          <w:b/>
          <w:rFonts w:ascii="Cambria" w:hAnsi="Cambria"/>
          <w:sz w:val="23"/>
        </w:rPr>
        <w:t xml:space="preserve">HUKUKİ DAYANAKLAR</w:t>
      </w:r>
    </w:p>
    <w:p>
      <w:pPr>
        <w:spacing w:after="92" w:line="300" w:lineRule="auto"/>
      </w:pPr>
      <w:r>
        <w:rPr>
          <w:rFonts w:ascii="Cambria" w:hAnsi="Cambria"/>
          <w:sz w:val="21"/>
        </w:rPr>
        <w:t xml:space="preserve">6446 sayılı Elektrik Piyasası Kanunu ek madde 5, Şarj Hizmeti Yönetmeliği m.25/1; tüketici işlemi ve görev koşulları bakımından 6502 sayılı Kanun m.68 ve ilgili mevzuat.</w:t>
      </w:r>
    </w:p>
    <w:p>
      <w:pPr>
        <w:spacing w:after="92" w:line="300" w:lineRule="auto"/>
      </w:pPr>
      <w:r>
        <w:rPr>
          <w:rFonts w:ascii="Cambria" w:hAnsi="Cambria"/>
          <w:sz w:val="21"/>
        </w:rPr>
        <w:t xml:space="preserve"/>
      </w:r>
    </w:p>
    <w:p>
      <w:pPr>
        <w:spacing w:after="155" w:line="300" w:lineRule="auto"/>
      </w:pPr>
      <w:r>
        <w:rPr>
          <w:b/>
          <w:rFonts w:ascii="Cambria" w:hAnsi="Cambria"/>
          <w:sz w:val="23"/>
        </w:rPr>
        <w:t xml:space="preserve">DELİLLER</w:t>
      </w:r>
    </w:p>
    <w:p>
      <w:pPr>
        <w:spacing w:after="92" w:line="300" w:lineRule="auto"/>
      </w:pPr>
      <w:r>
        <w:rPr>
          <w:rFonts w:ascii="Cambria" w:hAnsi="Cambria"/>
          <w:sz w:val="21"/>
        </w:rPr>
        <w:t xml:space="preserve">Fatura ve fatura yerine geçen belge, şarj oturumu kayıtları, aktarılan kWh ve TL/kWh tarifesi, banka/kart kesin ödeme kaydı, uygulama ekran görüntüleri [varsa], iade talebi ve yanıt [varsa], işletmeci kayıtları ve hukuka uygun diğer deliller.</w:t>
      </w:r>
    </w:p>
    <w:p>
      <w:pPr>
        <w:spacing w:after="92" w:line="300" w:lineRule="auto"/>
      </w:pPr>
      <w:r>
        <w:rPr>
          <w:rFonts w:ascii="Cambria" w:hAnsi="Cambria"/>
          <w:sz w:val="21"/>
        </w:rPr>
        <w:t xml:space="preserve"/>
      </w:r>
    </w:p>
    <w:p>
      <w:pPr>
        <w:spacing w:after="155" w:line="300" w:lineRule="auto"/>
      </w:pPr>
      <w:r>
        <w:rPr>
          <w:b/>
          <w:rFonts w:ascii="Cambria" w:hAnsi="Cambria"/>
          <w:sz w:val="23"/>
        </w:rPr>
        <w:t xml:space="preserve">SONUÇ VE İSTEM</w:t>
      </w:r>
    </w:p>
    <w:p>
      <w:pPr>
        <w:spacing w:after="92" w:line="300" w:lineRule="auto"/>
      </w:pPr>
      <w:r>
        <w:rPr>
          <w:rFonts w:ascii="Cambria" w:hAnsi="Cambria"/>
          <w:sz w:val="21"/>
        </w:rPr>
        <w:t xml:space="preserve">Yukarıda açıklanan nedenlerle, [şarj oturum numarası] kapsamında enerji bedeli dışında [faturadaki kalem adı] olarak ayrıca tahsil edilen [net ve henüz iade edilmemiş tutar] TL'nin tarafıma iadesine; gerekli oturum, tarife ve işlem kayıtlarının karşı taraf işletmeciden istenerek incelenmesine karar verilmesini saygıyla arz ederim.</w:t>
      </w:r>
    </w:p>
    <w:p>
      <w:pPr>
        <w:spacing w:after="92" w:line="300" w:lineRule="auto"/>
      </w:pPr>
      <w:r>
        <w:rPr>
          <w:rFonts w:ascii="Cambria" w:hAnsi="Cambria"/>
          <w:sz w:val="21"/>
        </w:rPr>
        <w:t xml:space="preserve"/>
      </w:r>
    </w:p>
    <w:p>
      <w:pPr>
        <w:spacing w:after="92" w:line="300" w:lineRule="auto"/>
      </w:pPr>
      <w:r>
        <w:rPr>
          <w:rFonts w:ascii="Cambria" w:hAnsi="Cambria"/>
          <w:sz w:val="21"/>
        </w:rPr>
        <w:t xml:space="preserve">TARİH: [GG.AA.YYYY]</w:t>
      </w:r>
    </w:p>
    <w:p>
      <w:pPr>
        <w:spacing w:after="92" w:line="300" w:lineRule="auto"/>
      </w:pPr>
      <w:r>
        <w:rPr>
          <w:rFonts w:ascii="Cambria" w:hAnsi="Cambria"/>
          <w:sz w:val="21"/>
        </w:rPr>
        <w:t xml:space="preserve">BAŞVURAN / VEKİL: [Ad soyad / varsa Av. Halil BAKIRCI]</w:t>
      </w:r>
    </w:p>
    <w:p>
      <w:pPr>
        <w:spacing w:after="92" w:line="300" w:lineRule="auto"/>
      </w:pPr>
      <w:r>
        <w:rPr>
          <w:rFonts w:ascii="Cambria" w:hAnsi="Cambria"/>
          <w:sz w:val="21"/>
        </w:rPr>
        <w:t xml:space="preserve">İMZA: [İmza veya uygun elektronik başvuru]</w:t>
      </w:r>
    </w:p>
    <w:p>
      <w:pPr>
        <w:spacing w:after="92" w:line="300" w:lineRule="auto"/>
      </w:pPr>
      <w:r>
        <w:rPr>
          <w:rFonts w:ascii="Cambria" w:hAnsi="Cambria"/>
          <w:sz w:val="21"/>
        </w:rPr>
        <w:t xml:space="preserve"/>
      </w:r>
    </w:p>
    <w:p>
      <w:pPr>
        <w:spacing w:after="155" w:line="300" w:lineRule="auto"/>
      </w:pPr>
      <w:r>
        <w:rPr>
          <w:b/>
          <w:rFonts w:ascii="Cambria" w:hAnsi="Cambria"/>
          <w:sz w:val="23"/>
        </w:rPr>
        <w:t xml:space="preserve">EKLER</w:t>
      </w:r>
    </w:p>
    <w:p>
      <w:pPr>
        <w:spacing w:after="92" w:line="300" w:lineRule="auto"/>
      </w:pPr>
      <w:r>
        <w:rPr>
          <w:rFonts w:ascii="Cambria" w:hAnsi="Cambria"/>
          <w:sz w:val="21"/>
        </w:rPr>
        <w:t xml:space="preserve">1. Oturum ve soket kimliğini gösteren şarj işlem özeti</w:t>
      </w:r>
    </w:p>
    <w:p>
      <w:pPr>
        <w:spacing w:after="92" w:line="300" w:lineRule="auto"/>
      </w:pPr>
      <w:r>
        <w:rPr>
          <w:rFonts w:ascii="Cambria" w:hAnsi="Cambria"/>
          <w:sz w:val="21"/>
        </w:rPr>
        <w:t xml:space="preserve">2. Enerji miktarı, birim fiyat ve ayrı tutarı gösteren fatura</w:t>
      </w:r>
    </w:p>
    <w:p>
      <w:pPr>
        <w:spacing w:after="92" w:line="300" w:lineRule="auto"/>
      </w:pPr>
      <w:r>
        <w:rPr>
          <w:rFonts w:ascii="Cambria" w:hAnsi="Cambria"/>
          <w:sz w:val="21"/>
        </w:rPr>
        <w:t xml:space="preserve">3. Kesinleşen banka veya kredi kartı ödeme belgesi</w:t>
      </w:r>
    </w:p>
    <w:p>
      <w:pPr>
        <w:spacing w:after="92" w:line="300" w:lineRule="auto"/>
      </w:pPr>
      <w:r>
        <w:rPr>
          <w:rFonts w:ascii="Cambria" w:hAnsi="Cambria"/>
          <w:sz w:val="21"/>
        </w:rPr>
        <w:t xml:space="preserve">4. Uygulama üzerinden ilan edilen tarife veya ekran kayıtları [varsa]</w:t>
      </w:r>
    </w:p>
    <w:p>
      <w:pPr>
        <w:spacing w:after="92" w:line="300" w:lineRule="auto"/>
      </w:pPr>
      <w:r>
        <w:rPr>
          <w:rFonts w:ascii="Cambria" w:hAnsi="Cambria"/>
          <w:sz w:val="21"/>
        </w:rPr>
        <w:t xml:space="preserve">5. İade başvurusu ve işletmecinin yanıtı [varsa]</w:t>
      </w:r>
    </w:p>
    <w:p>
      <w:pPr>
        <w:spacing w:after="92" w:line="300" w:lineRule="auto"/>
      </w:pPr>
      <w:r>
        <w:rPr>
          <w:rFonts w:ascii="Cambria" w:hAnsi="Cambria"/>
          <w:sz w:val="21"/>
        </w:rPr>
        <w:t xml:space="preserve">6. Birden çok işlem bulunuyorsa oturum–ek ücret–iade çizelgesi</w:t>
      </w:r>
    </w:p>
    <w:p>
      <w:pPr>
        <w:spacing w:after="92" w:line="300" w:lineRule="auto"/>
      </w:pPr>
      <w:r>
        <w:rPr>
          <w:rFonts w:ascii="Cambria" w:hAnsi="Cambria"/>
          <w:sz w:val="21"/>
        </w:rPr>
        <w:t xml:space="preserve"/>
      </w:r>
    </w:p>
    <w:p>
      <w:pPr>
        <w:spacing w:after="155" w:line="300" w:lineRule="auto"/>
      </w:pPr>
      <w:r>
        <w:rPr>
          <w:b/>
          <w:rFonts w:ascii="Cambria" w:hAnsi="Cambria"/>
          <w:sz w:val="23"/>
        </w:rPr>
        <w:t xml:space="preserve">UYARLAMA NOTU</w:t>
      </w:r>
    </w:p>
    <w:p>
      <w:pPr>
        <w:spacing w:after="92" w:line="300" w:lineRule="auto"/>
      </w:pPr>
      <w:r>
        <w:rPr>
          <w:rFonts w:ascii="Cambria" w:hAnsi="Cambria"/>
          <w:sz w:val="21"/>
        </w:rPr>
        <w:t xml:space="preserve">Köşeli parantezli alanları yalnız doğrulanmış kayıtlarla doldurun. İşlem tarihinde yürürlükte bulunan Yönetmelik metnini ve hakem heyeti görev sınırını kontrol edin. İşlem bedeli, rezervasyon ve işgaliye bedelinin hukuki niteliği farklıdır. 2026 için tüketici hakem heyetleri parasal sınırı 186.000 TL'nin altıdır.</w:t>
      </w:r>
    </w:p>
    <w:sectPr>
      <w:pgSz w:w="11906" w:h="16838"/>
      <w:pgMar w:top="1247" w:right="1247" w:bottom="1247" w:left="1247" w:header="708" w:footer="708" w:gutter="0"/>
    </w:sectPr>
  </w:body>
</w:document>
</file>