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Taşıyanın Gerekçeli Konişmento Çekincesi Bildirimi</w:t>
      </w:r>
    </w:p>
    <w:p>
      <w:pPr>
        <w:widowControl/>
      </w:pPr>
      <w:r>
        <w:t>[YÜKLETENİN GERÇEK ADI / TİCARET UNVANINA]</w:t>
        <w:br/>
        <w:t>Bilgi: [Varsa taşıyan adına konişmentoyu düzenlemeye gerçekten yetkili temsilci]</w:t>
      </w:r>
    </w:p>
    <w:p>
      <w:pPr>
        <w:widowControl/>
      </w:pPr>
      <w:r>
        <w:t>BİLDİREN TAŞIYAN: [Gerçek unvan, adres ve iletişim]</w:t>
        <w:br/>
        <w:t>YETKİLİ: [Gerçek ad, sıfat ve yetki]</w:t>
        <w:br/>
        <w:t>TAŞIMA / SENET REFERANSI: [Gerçek rezervasyon, sefer ve varsa konişmento bilgisi]</w:t>
        <w:br/>
        <w:t>KONU: TTK m.1239/1 kapsamında belirli yük beyanına ilişkin gerekçeli çekincenin bildirilmesi ve konişmentoda kaydıdır.</w:t>
      </w:r>
    </w:p>
    <w:p>
      <w:pPr>
        <w:widowControl/>
      </w:pPr>
      <w:r>
        <w:t>AÇIKLAMALAR: 1. [Gerçek tarih ve belge] ile konişmentoya yazılmak üzere bildirdiğiniz [cins/işaret/koli veya parça adedi/ağırlık/miktar] kaydı [gerçek beyan] şeklindedir. İlgili eşya [gerçek yük tanımı ve referans] olup işlem aşaması [teslim alınma / fiilen yüklenme] olarak belgelenmiştir.</w:t>
      </w:r>
    </w:p>
    <w:p>
      <w:pPr>
        <w:widowControl/>
      </w:pPr>
      <w:r>
        <w:t>2. Belirtilen beyan bakımından [fiilî kayıtla bilinen gerçek uyumsuzluk / haklı şüpheyi doğuran somut neden / yeterli kontrol imkânının bulunmamasının gerçek sebebi] mevcuttur. Dayanak [gerçek sayım, ölçüm, işlem tutanağı, fotoğraf veya kontrol sınırı belgesi] olup etkilediği alan ve kapsam [somut açıklama] şeklindedir.</w:t>
      </w:r>
    </w:p>
    <w:p>
      <w:pPr>
        <w:widowControl/>
      </w:pPr>
      <w:r>
        <w:t>3. TTK m.1239/1 uyarınca ilgili konişmentoya şu gerekçeli çekincenin kaydı bildirilmektedir: [Gerçek etkilenen beyanı ve gerçeğe uymama, haklı şüphe veya kontrol yetersizliği gerekçesini açıkça anlatan tam çekince metni]. Haricen belli hâle ilişkin gerçek kayıt [ayrı açıklama] olup başka beyan alanlarıyla karıştırılmamıştır.</w:t>
      </w:r>
    </w:p>
    <w:p>
      <w:pPr>
        <w:widowControl/>
      </w:pPr>
      <w:r>
        <w:t>4. Bu bildirim senetteki gerekçeli çekincenin yerine geçmez. Düzenlenecek veya ilgili gerçek nüshada yer alacak kayıt, bildirilen sebep ve kapsamla karşılaştırılacaktır. Sonradan sağlanan gerçek belge veya giderilen fark kendi tarihiyle ayrıca incelenecektir. Gerçeğe aykırı temiz kayıt veya yapılmamış kontrol beyanı kullanılmamaktadır.</w:t>
      </w:r>
    </w:p>
    <w:p>
      <w:pPr>
        <w:widowControl/>
      </w:pPr>
      <w:r>
        <w:t>SONUÇ BİLDİRİMİ: Açıklanan gerçek sebep ve kapsamla konişmentoya TTK m.1239/1 uyarınca gerekçeli çekince kaydı yapılacağını bildiririz. Yetkili düzenleyiciye iletilen tam kayıt metni ve son senet nüshası aynı taşıma dosyasında korunacaktır. Çekince yalnız belirtilen gerçek beyan alanına yöneliktir; kanuni sorumluluğun bütünüyle kalktığı ileri sürülmemektedir.</w:t>
      </w:r>
    </w:p>
    <w:p>
      <w:pPr>
        <w:widowControl/>
      </w:pPr>
      <w:r>
        <w:t>Tarih: [Gerçek gönderim tarihi]</w:t>
        <w:br/>
        <w:t>Taşıyan adına gerçek yetkili: [Ad, soyad ve sıfat]</w:t>
        <w:br/>
        <w:t>İmza: [Gerçek imza]</w:t>
      </w:r>
    </w:p>
    <w:p>
      <w:pPr>
        <w:widowControl/>
      </w:pPr>
      <w:r>
        <w:t>EKLER: [Yükletenin gerçek beyanı], [ilgili taşıma/senet taslağı], [gerçek kontrol ve dayanak belgeleri], [etkilenen alan ve çekince karşılaştırması], [varsa yetki belgesi]. Yalnız fiilen sunulan belgeler listelenir.</w:t>
      </w:r>
    </w:p>
    <w:p>
      <w:r>
        <w:br w:type="page"/>
      </w:r>
    </w:p>
    <w:p>
      <w:pPr>
        <w:pStyle w:val="Heading1"/>
      </w:pPr>
      <w:r>
        <w:t>Gerekçe ve Son Senet Kaydı Hazırlık Notları</w:t>
      </w:r>
    </w:p>
    <w:p>
      <w:r>
        <w:rPr>
          <w:b/>
        </w:rPr>
        <w:t xml:space="preserve">1. Gerçek taşıyan ve yetki: </w:t>
      </w:r>
      <w:r>
        <w:t>Taşıyanın gerçek unvanı ve adına işlem yapan kişinin yetkisi belirlenir. Kaptan, acente, terminal ve belge hazırlayan çalışan aynı kişi sayılmaz. Bildirimin ilgili yükletene ve varsa gerçek yetkili düzenleyiciye yöneltilmesini kontrol edin.</w:t>
      </w:r>
    </w:p>
    <w:p>
      <w:r>
        <w:rPr>
          <w:b/>
        </w:rPr>
        <w:t xml:space="preserve">2. Fiilî aşama: </w:t>
      </w:r>
      <w:r>
        <w:t>Tesellüm konişmentosunda teslim alınan, yükleme konişmentosunda fiilen yüklenen eşya esas alınır. Terminale gelen yük ile gemiye yüklenen yükü karıştırmayın. Raporun gerçek yerini, tarihini ve işlem aşamasını belirtin.</w:t>
      </w:r>
    </w:p>
    <w:p>
      <w:r>
        <w:rPr>
          <w:b/>
        </w:rPr>
        <w:t xml:space="preserve">3. Kanuni sebep: </w:t>
      </w:r>
      <w:r>
        <w:t>TTK m.1239/1 gerçek uyumsuzluğu bilme, haklı sebeple şüphe veya yeterli kontrol imkânı yokluğunu düzenler. Yalnız gerçek mevcut sebebi seçin. Belgesiz kesin eksiklik, uydurma sayım veya açıklanmamış genel şüphe kullanmayın.</w:t>
      </w:r>
    </w:p>
    <w:p>
      <w:r>
        <w:rPr>
          <w:b/>
        </w:rPr>
        <w:t xml:space="preserve">4. Beyan ve gerekçe bağı: </w:t>
      </w:r>
      <w:r>
        <w:t>Etkilenen cins, işaret, koli/parça, ağırlık veya miktar alanını belirtin. Gerçeğe uymama, haklı şüphe veya kontrol yetersizliğini tam açıklayan çekince metni yazın. Bir alanın kontrol eksikliğini bütün yük bilgisine sınırsız aktarmazsınız.</w:t>
      </w:r>
    </w:p>
    <w:p>
      <w:r>
        <w:rPr>
          <w:b/>
        </w:rPr>
        <w:t xml:space="preserve">5. Son senet nüshası: </w:t>
      </w:r>
      <w:r>
        <w:t>Bildirim tek başına konişmentoda çekince oluşturmaz. Yetkili kişiye iletilen tam metni son gerçek nüshayla karşılaştırın. Taslak, asıl ve taranmış kopyayı ayırın. Dolaşımdan sonraki kaydı ilk düzenlemede varmış gibi göstermeyin.</w:t>
      </w:r>
    </w:p>
    <w:p>
      <w:r>
        <w:rPr>
          <w:b/>
        </w:rPr>
        <w:t xml:space="preserve">6. Ayrı kanuni sonuçlar: </w:t>
      </w:r>
      <w:r>
        <w:t>Haricen belli hâli TTK m.1239/2; ispat ve iyiniyetli üçüncü kişiyi TTK m.1239/3; cins/değer özel hükmünü TTK m.1186/4; çekincesiz belge garantisi ve aldatma kastını TTK m.1241/2–4 kapsamında ayrı okuyun. Çekince genel sorumsuzluk veya temiz senet garantisi değildir.</w:t>
      </w:r>
    </w:p>
    <w:p>
      <w:r>
        <w:rPr>
          <w:b/>
        </w:rPr>
        <w:t xml:space="preserve">7. Gerçek tarih ve imza: </w:t>
      </w:r>
      <w:r>
        <w:t>Gerçek gönderim günü ve yetkili kişinin gerçek imzasını kullanın. Güvenli elektronik imza fiilen uygulanmadan e-imzalıdır yazmayın. Hazırlık sayfası, boş alanlar ve kullanılmayan seçenekler sunulan nüshadan çıkarılır; gerçek ekler ve son kayıt korunur.</w:t>
      </w:r>
    </w:p>
    <w:p>
      <w:r>
        <w:t>Genel ve düzenlenebilir örnek. Doğrudan dayanak TTK m.1239/1–3; özel beyan etkisi m.1186/4; çekincesiz belge garantisi ve aldatma kastı m.1241/2–4. Güncel resmî metin 9 Ekim 2026 tarihinde incelendi. Yazar: Av. Halil Bakırcı, Mersin Barosu 3472. Gerçek yük, gerekçe, yetki ve son senet kaydı birlikte incelenir; sorumluluktan kurtulma veya uyuşmazlık sonucu garanti edilmez.</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Taşıyanın Gerekçeli Konişmento Çekincesi Bildirimi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