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Tazminat hükmünü değiştirme yetkisinin saklı tutulması talebi</w:t>
      </w:r>
    </w:p>
    <w:p>
      <w:pPr>
        <w:jc w:val="center"/>
      </w:pPr>
      <w:r>
        <w:rPr>
          <w:b/>
        </w:rPr>
        <w:t>[DAVAYA BAKAN MAHKEMENİN TAM ADI] SAYIN HÂKİMLİĞİNE</w:t>
      </w:r>
    </w:p>
    <w:p>
      <w:r>
        <w:t>DOSYA: [Esas numarası]</w:t>
        <w:br/>
        <w:t>DAVACI: [Ad soyad, dosyadaki adres]</w:t>
        <w:br/>
        <w:t>VEKİLİ: [Varsa ad soyad ve adres]</w:t>
        <w:br/>
        <w:t>DAVALI: [Dosyadaki ad veya unvan]</w:t>
        <w:br/>
        <w:t>KONU: TBK m.75 uyarınca tazminat hükmünü değiştirme yetkisinin saklı tutulması ve belirtilen tıbbi konunun açıklanması talebidir.</w:t>
      </w:r>
    </w:p>
    <w:p>
      <w:r>
        <w:t>AÇIKLAMALAR</w:t>
      </w:r>
    </w:p>
    <w:p>
      <w:r>
        <w:t>1. Mahkemenizin yukarıdaki dosyasında [olay tarihi ve dosyada tanımlanan yaralanma] nedeniyle bedensel zarar tazminatı talebimiz incelenmektedir. İlgili sağlık kayıtları [kurum, tarih, rapor numarası ve ek] olarak sunulmuştur.</w:t>
      </w:r>
    </w:p>
    <w:p>
      <w:r>
        <w:t>2. [Tarih ve numara] raporunun [sayfa/bölüm] kısmında [belgedeki gerçek tespit] açıklanmıştır. Buna karşılık [tam belirlenemeyen bedensel zarar bileşeni] yönünden kapsamın karar sırasında tamamlanamamasının tıbbi nedeni [belge ve ilgili açıklama] ile gösterilmiştir. Ekli çizelge, mevcut tespit ile açık kalan konuyu ayırmaktadır.</w:t>
      </w:r>
    </w:p>
    <w:p>
      <w:r>
        <w:t>3. Bu hususun değerlendirilmesi için [somut teknik soru] hakkında ilgili uzmanlık alanından açıklama alınmasını istiyoruz. Dosyadaki önceki inceleme ve açıklama istemleri [dilekçe/ara karar tarihi] ile belirtilmiştir. Rapor itirazına ilişkin sunum ve tebliğ kayıtları [varsa gerçek bilgiler] olarak dosyadadır.</w:t>
      </w:r>
    </w:p>
    <w:p>
      <w:r>
        <w:t>4. TBK m.75, bedensel zararın kapsamının karar sırasında tam belirlenememesi durumunda, kararın kesinleşmesinden başlayan iki yıllık dönem için hâkimin tazminat hükmünü değiştirme yetkisini saklı tutmasını düzenler. Talebimiz, açıklanan bedensel zarar kapsamı ile bu kanuni yetkiye ilişkindir.</w:t>
      </w:r>
    </w:p>
    <w:p>
      <w:r>
        <w:t>HUKUKİ DAYANAK: TBK m.54 ve 75; ilgili inceleme bakımından HMK m.266, 279/4, 281 ve 282; hüküm sonucu bakımından HMK m.297/2.</w:t>
      </w:r>
    </w:p>
    <w:p>
      <w:r>
        <w:t>SONUÇ VE TALEP: Belirtilen teknik konunun dosyadaki kayıtlar üzerinden açıklığa kavuşturulmasını; açıklanan bedensel zarar kapsamının karar sırasında tam belirlenemediğinin değerlendirilmesiyle, TBK m.75 uyarınca kararın kesinleşmesinden başlayarak iki yıl içinde tazminat hükmünü değiştirme yetkisinin saklı tutulmasına karar verilmesini arz ve talep ederim.</w:t>
      </w:r>
    </w:p>
    <w:p>
      <w:r>
        <w:t>EKLER: [Numaralı sağlık belgeleri, rapor karşılaştırma çizelgesi, ilgili sunum/tebliğ ve ara karar kayıtları]</w:t>
        <w:br/>
        <w:t>Gerçek başvuru tarihi: [Gün/ay/yıl]</w:t>
        <w:br/>
        <w:t>Davacı / vekili [Ad soyad]</w:t>
        <w:br/>
        <w:t>[İmza]</w:t>
      </w:r>
    </w:p>
    <w:p>
      <w:r>
        <w:br w:type="page"/>
      </w:r>
    </w:p>
    <w:p>
      <w:pPr>
        <w:pStyle w:val="Title"/>
      </w:pPr>
      <w:r>
        <w:t>Bedensel zarar kapsamı ve rapor karşılaştırma çizelgesi</w:t>
      </w:r>
    </w:p>
    <w:p>
      <w:r>
        <w:t>Mahkeme ve esas numarası: [ ]</w:t>
        <w:br/>
        <w:t>Davacı ve dosyada tanımlanan yaralanma: [ ]</w:t>
        <w:br/>
        <w:t>Çizelgenin gerçek hazırlanma tarihi: [ ]</w:t>
      </w:r>
    </w:p>
    <w:p>
      <w:r>
        <w:t>Her sağlık belgesinde belirlenen mevcut durum ve açık kalan konu ayrı yazılır. Teknik soru, raporda gerçekten açıklanmayan bedensel zarar bileşenine bağlanır. Belgede bulunmayan teşhis veya gelecek sonuç eklenmez.</w:t>
      </w:r>
    </w:p>
    <w:tbl>
      <w:tblPr>
        <w:tblW w:type="auto" w:w="0"/>
        <w:tblLayout w:type="fixed"/>
        <w:tblLook w:firstColumn="1" w:firstRow="1" w:lastColumn="0" w:lastRow="0" w:noHBand="0" w:noVBand="1" w:val="04A0"/>
      </w:tblPr>
      <w:tblGrid>
        <w:gridCol w:w="3312"/>
        <w:gridCol w:w="3312"/>
        <w:gridCol w:w="3312"/>
      </w:tblGrid>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shd w:fill="E8EEF1"/>
          </w:tcPr>
          <w:p>
            <w:pPr>
              <w:spacing w:after="80"/>
            </w:pPr>
            <w:r>
              <w:rPr>
                <w:b/>
                <w:sz w:val="20"/>
              </w:rPr>
              <w:t>Kontrol edilen konu</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shd w:fill="E8EEF1"/>
          </w:tcPr>
          <w:p>
            <w:pPr>
              <w:spacing w:after="80"/>
            </w:pPr>
            <w:r>
              <w:rPr>
                <w:b/>
                <w:sz w:val="20"/>
              </w:rPr>
              <w:t>Mevcut tespit / açık kalan konu</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shd w:fill="E8EEF1"/>
          </w:tcPr>
          <w:p>
            <w:pPr>
              <w:spacing w:after="80"/>
            </w:pPr>
            <w:r>
              <w:rPr>
                <w:b/>
                <w:sz w:val="20"/>
              </w:rPr>
              <w:t>Belge, tarih, sayfa / teknik soru</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İlk yaralanma kaydı</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Tedavi ve kontrol kayıtları</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Son raporun değerlendirdiği dönem</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Belirlenen işlevsel durum</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Tam belirlenemeyen zarar bileşeni</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Belirsizliğin rapordaki tıbbi nedeni</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Uzmanlığa yöneltilen somut soru</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Önceki rapor / ara karar ilişkisi</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Raporun tebliği ve sunum kaydı</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r>
        <w:tc>
          <w:tcPr>
            <w:tcW w:type="dxa" w:w="309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Mahkemeye gönderilen eklerin kontrolü</w:t>
            </w:r>
          </w:p>
        </w:tc>
        <w:tc>
          <w:tcPr>
            <w:tcW w:type="dxa" w:w="338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c>
          <w:tcPr>
            <w:tcW w:type="dxa" w:w="345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80"/>
            </w:pPr>
            <w:r>
              <w:rPr>
                <w:b w:val="0"/>
                <w:sz w:val="20"/>
              </w:rPr>
              <w:t>[ ]</w:t>
            </w:r>
          </w:p>
        </w:tc>
      </w:tr>
    </w:tbl>
    <w:p>
      <w:pPr>
        <w:spacing w:before="140"/>
      </w:pPr>
      <w:r>
        <w:t>TBK m.75, karar sırasında bedensel zararın kapsamının tam belirlenememesi koşuluna bağlıdır. Kanundaki iki yıllık dönem kararın kesinleşmesinden başlar. Bu çizelge ve talep, tazminatın kendiliğinden artırıldığı veya mahkemenin yetkiyi mutlaka saklı tutacağı anlamına gelmez.</w:t>
      </w:r>
    </w:p>
    <w:p>
      <w:r>
        <w:t>Düzenleyen ad soyad: [ ]</w:t>
        <w:br/>
        <w:t>Gerçek tarih ve imza: [ ]</w:t>
      </w:r>
    </w:p>
    <w:sectPr w:rsidR="00FC693F" w:rsidRPr="0006063C" w:rsidSect="00034616">
      <w:pgSz w:w="12240" w:h="15840"/>
      <w:pgMar w:top="979" w:right="1152" w:bottom="979"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40"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20" w:line="240"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