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Teslim sonrası navlun talebine itiraz</w:t>
      </w:r>
    </w:p>
    <w:p>
      <w:pPr>
        <w:pStyle w:val="Subtitle"/>
      </w:pPr>
      <w:r>
        <w:t>Taşıtandan taşıyana • TTK 1205</w:t>
      </w:r>
    </w:p>
    <w:p>
      <w:r>
        <w:t>[TAŞIYAN UNVANI]’NA</w:t>
      </w:r>
    </w:p>
    <w:p>
      <w:r>
        <w:t>İTİRAZ EDEN TAŞITAN: [Unvan, adres]</w:t>
        <w:br/>
        <w:t>MUHATAP TAŞIYAN: [Unvan, adres]</w:t>
        <w:br/>
        <w:t>SÖZLEŞME / SENET / EŞYA: [Referanslar]</w:t>
        <w:br/>
        <w:t>TALEP KAYDI: [Fatura/hesap/ihtar tarih ve numarası]</w:t>
        <w:br/>
        <w:t>KONU: TTK 1205 kapsamında teslim sonrası belirli alacağın taşıtana yöneltilmesine itiraz.</w:t>
      </w:r>
    </w:p>
    <w:p>
      <w:r>
        <w:t>AÇIKLAMALAR</w:t>
        <w:br/>
        <w:t>1. [Sözleşme]nin taşıtan tarafıyız. Bizden farklı gönderilen [unvan], [senet/sözleşme] uyarınca [tarih]te teslim istemiştir. Eşya [gerçek teslim zamanı ve belge] ile bu gönderilene teslim edilmiştir.</w:t>
      </w:r>
    </w:p>
    <w:p>
      <w:r>
        <w:t>2. [Talep kaydı]ndaki [kalem, tutar ve para birimi], [ilgili hüküm ve belge] uyarınca TTK 1203 kapsamında gönderilenden istenebilen alacaktır. Gerçek teslim ve kalem bağlantısı ektedir.</w:t>
      </w:r>
    </w:p>
    <w:p>
      <w:r>
        <w:t>3. Eşyayı gönderilene teslim etmiş taşıyanın bu alacağı taşıtandan istemesi TTK 1205’in birinci cümlesindeki sınıra tabidir. TTK 1205’in taşıtanın taşıyan zararına sebepsiz zenginleştiği orandaki istisnası saklıdır. Bu istisna ileri sürülüyorsa olay, bağlantı, miktar ve belgeler ayrı açıklanmalıdır.</w:t>
      </w:r>
    </w:p>
    <w:p>
      <w:r>
        <w:t>TALEP: Belirtilen teslim ve alacak kayıtları çerçevesinde, [kalem ve tutar]ın tarafımıza yöneltilmesine itiraz ediyoruz. TTK 1205 uyarınca ilgili talep ve hesabın düzeltilmesini; farklı hukuki sebep veya istisna ileri sürülüyorsa somut kalem ve belgeleriyle açıklanmasını talep ederiz. İtirazımız belirtilen kalem ve gerçek kapsamıyla sınırlıdır.</w:t>
      </w:r>
    </w:p>
    <w:p>
      <w:r>
        <w:rPr>
          <w:b/>
        </w:rPr>
        <w:t>EKLER:</w:t>
      </w:r>
      <w:r>
        <w:t xml:space="preserve"> 1. Sözleşme ve senet 2. Gönderilenin teslim istemi 3. Gerçek teslim kayıtları 4. İtiraz edilen talep 5. Kalem ve ödeme/bakiye tablosu 6. İlgili yazışmalar.</w:t>
        <w:br/>
        <w:t>Tarih: 08.10.2026</w:t>
        <w:br/>
        <w:t>Taşıtan / yetkili temsilci: [Ad, unvan]</w:t>
        <w:br/>
        <w:t>İmza: (E-İMZALIDIR)</w:t>
      </w:r>
    </w:p>
    <w:p>
      <w:r>
        <w:br w:type="page"/>
      </w:r>
    </w:p>
    <w:p>
      <w:pPr>
        <w:pStyle w:val="Heading1"/>
      </w:pPr>
      <w:r>
        <w:t>Dosyaya uyarlama rehberi</w:t>
      </w:r>
    </w:p>
    <w:p>
      <w:r>
        <w:t>Bu sayfa çalışma notudur. Muhataba sunulacak dilekçeden çıkarın. Köşeli parantezli alanları gerçek belge ve kayıtlarla doldurun; gerçekleşmemiş bir olayı veya teslimi yazmayın.</w:t>
      </w:r>
    </w:p>
    <w:p>
      <w:pPr>
        <w:pStyle w:val="Heading2"/>
      </w:pPr>
      <w:r>
        <w:t>Taraflar</w:t>
      </w:r>
    </w:p>
    <w:p>
      <w:r>
        <w:t>Taşıtan, taşıyan ve taşıtandan farklı gönderileni sözleşme ve senetle doğrulayın.</w:t>
      </w:r>
    </w:p>
    <w:p>
      <w:pPr>
        <w:pStyle w:val="Heading2"/>
      </w:pPr>
      <w:r>
        <w:t>Teslim</w:t>
      </w:r>
    </w:p>
    <w:p>
      <w:r>
        <w:t>TTK 1205 gerçek teslim sonrasına ilişkindir. Teslim istemi, emir ve gerçekleşmiş teslim ayrı belgelerdir.</w:t>
      </w:r>
    </w:p>
    <w:p>
      <w:pPr>
        <w:pStyle w:val="Heading2"/>
      </w:pPr>
      <w:r>
        <w:t>Kalem</w:t>
      </w:r>
    </w:p>
    <w:p>
      <w:r>
        <w:t>İtiraz edilen alacağın TTK 1203 kapsamında gönderilenden istenebilen kalem olduğunu ilgili hükümle gösterin.</w:t>
      </w:r>
    </w:p>
    <w:p>
      <w:pPr>
        <w:pStyle w:val="Heading2"/>
      </w:pPr>
      <w:r>
        <w:t>İstisna</w:t>
      </w:r>
    </w:p>
    <w:p>
      <w:r>
        <w:t>Taşıtanın taşıyan zararına sebepsiz zenginleştiği orandaki rücu istisnası korunur. İleri sürülen olay, bağlantı ve miktar ayrıca incelenir.</w:t>
      </w:r>
    </w:p>
    <w:p>
      <w:pPr>
        <w:pStyle w:val="Heading2"/>
      </w:pPr>
      <w:r>
        <w:t>Ayrım</w:t>
      </w:r>
    </w:p>
    <w:p>
      <w:r>
        <w:t>TTK 1206 satış bakiyesi ve 1207 teslim istememe farklıdır. Örneği bu olayları değiştirmek için kullanmayın.</w:t>
      </w:r>
    </w:p>
    <w:p>
      <w:pPr>
        <w:pStyle w:val="Heading2"/>
      </w:pPr>
      <w:r>
        <w:t>Usul</w:t>
      </w:r>
    </w:p>
    <w:p>
      <w:r>
        <w:t>Bu yazı taşıyana yöneltilir. Ayrı mahkeme veya icra belgesi varsa kendi başvuru yolu ve süresi ayrıca incelenmelidir.</w:t>
      </w:r>
    </w:p>
    <w:p>
      <w:pPr>
        <w:pStyle w:val="Heading2"/>
      </w:pPr>
      <w:r>
        <w:t>Tarih ve imza</w:t>
      </w:r>
    </w:p>
    <w:p>
      <w:r>
        <w:t>08.10.2026 gerçek günle değiştirilir. E-imza ibaresi yalnız fiilî elektronik imzada bırakılır. Bu hazırlık sayfası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