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70"/>
      </w:pPr>
      <w:r>
        <w:rPr>
          <w:b/>
          <w:sz w:val="25"/>
        </w:rPr>
        <w:t xml:space="preserve">VAKFIN YERLEŞİM YERİ ASLİYE HUKUK MAHKEMESİNE</w:t>
      </w:r>
    </w:p>
    <w:p>
      <w:pPr>
        <w:jc w:val="center"/>
        <w:spacing w:after="170"/>
      </w:pPr>
      <w:r>
        <w:rPr>
          <w:b/>
          <w:sz w:val="25"/>
        </w:rPr>
        <w:t xml:space="preserve">VAKIF AMACININ DEĞİŞTİRİLMESİ TALEP DİLEKÇESİ</w:t>
      </w:r>
    </w:p>
    <w:p>
      <w:pPr>
        <w:spacing w:after="145"/>
      </w:pPr>
      <w:r>
        <w:rPr>
          <w:sz w:val="21"/>
        </w:rPr>
        <w:t xml:space="preserve">TALEP EDEN: [Vakfın resmî unvanı, tüzel kişilik/sicil bilgisi ve güncel adresi]</w:t>
      </w:r>
    </w:p>
    <w:p>
      <w:pPr>
        <w:spacing w:after="145"/>
      </w:pPr>
      <w:r>
        <w:rPr>
          <w:sz w:val="21"/>
        </w:rPr>
        <w:t xml:space="preserve">YETKİLİ ORGAN/TEMSİLCİ: [Vakıf senedi ve yönetim organı kararındaki yetkili kişi/kişiler]</w:t>
      </w:r>
    </w:p>
    <w:p>
      <w:pPr>
        <w:spacing w:after="145"/>
      </w:pPr>
      <w:r>
        <w:rPr>
          <w:sz w:val="21"/>
        </w:rPr>
        <w:t xml:space="preserve">VEKİLİ: Av. Halil BAKIRCI [Yalnızca gerçek dosyada usulüne uygun vekâletname bulunuyorsa]</w:t>
      </w:r>
    </w:p>
    <w:p>
      <w:pPr>
        <w:spacing w:after="145"/>
      </w:pPr>
      <w:r>
        <w:rPr>
          <w:sz w:val="21"/>
        </w:rPr>
        <w:t xml:space="preserve">İLGİLİ DENETİM MAKAMI: Vakıflar Genel Müdürlüğü [İlgili birim doğrulanarak]</w:t>
      </w:r>
    </w:p>
    <w:p>
      <w:pPr>
        <w:spacing w:after="145"/>
      </w:pPr>
      <w:r>
        <w:rPr>
          <w:sz w:val="21"/>
        </w:rPr>
        <w:t xml:space="preserve">KONU: 4721 sayılı Türk Medenî Kanunu m.113/1 uyarınca vakıf senedinin [madde numarası] hükmünde yer alan kuruluş amacının, değişen durum ve koşullar nedeniyle mahkeme kararıyla değiştirilmesi talebidir.</w:t>
      </w:r>
    </w:p>
    <w:p>
      <w:pPr>
        <w:spacing w:after="145"/>
      </w:pPr>
      <w:r>
        <w:rPr>
          <w:b/>
          <w:sz w:val="25"/>
        </w:rPr>
        <w:t xml:space="preserve">AÇIKLAMALAR</w:t>
      </w:r>
    </w:p>
    <w:p>
      <w:pPr>
        <w:spacing w:after="145"/>
      </w:pPr>
      <w:r>
        <w:rPr>
          <w:sz w:val="21"/>
        </w:rPr>
        <w:t xml:space="preserve">1. Müvekkil/talep eden [vakıf tam adı], [tescil tarihi, tescil merci ve kayıt numarası] itibarıyla tüzel kişiliğe sahiptir. Vakfın kuruluşta kabul edilen amacı, senedin [madde] hükmünde “[eski amaç maddesinin TAM ve AYNEN metni]” biçimindedir. Güncel senet ve tescil belgesi dilekçemizin Ek-1’indedir.</w:t>
      </w:r>
    </w:p>
    <w:p>
      <w:pPr>
        <w:spacing w:after="145"/>
      </w:pPr>
      <w:r>
        <w:rPr>
          <w:sz w:val="21"/>
        </w:rPr>
        <w:t xml:space="preserve">2. Vakfın yönetim organı, vakıf senedinin [organ ve temsil hükümleri] uyarınca [gerçek karar tarihi ve sayısı] ile işbu başvuruya karar vermiştir. Karar, toplantı ve temsil şartlarına uygun olarak alınmıştır [bu cümle ancak gerçek kayıtla doğrulandıktan sonra kullanılacaktır]. Yetkili organ kararı, imza ve temsil belgeleri Ek-2’dedir.</w:t>
      </w:r>
    </w:p>
    <w:p>
      <w:pPr>
        <w:spacing w:after="145"/>
      </w:pPr>
      <w:r>
        <w:rPr>
          <w:sz w:val="21"/>
        </w:rPr>
        <w:t xml:space="preserve">3. Kuruluştan SONRA [tarih/dönem] içerisinde [gerçekten meydana gelmiş, belgelenebilir koşul değişikliği] gerçekleşmiştir. Bu olayın kaynağı [resmî kurum, kayıt no, tarih ve ilgili belge], içeriği ise [doğrulanmış olayın açık tanımı]dır. İleri sürülen değişiklik Ek-3’teki belgelerle; kuruluş koşullarının eski ve yeni durum karşılaştırması Ek-4 ile ortaya konulmaktadır.</w:t>
      </w:r>
    </w:p>
    <w:p>
      <w:pPr>
        <w:spacing w:after="145"/>
      </w:pPr>
      <w:r>
        <w:rPr>
          <w:sz w:val="21"/>
        </w:rPr>
        <w:t xml:space="preserve">4. Söz konusu değişen koşullar nedeniyle mevcut amaç hükmüne bağlı kalınması, vakfedenin kuruluş senedinde açıklanan [kurucunun temel niyeti ve yararlanıcı grubu] yönündeki arzusuna açıkça aykırı hâle gelmiştir. Bu bağlantı soyut bir yeniden yapılanma tercihine değil, [kanıta dayanan neden–sonuç açıklaması] dayanmaktadır. Eski amacı daha dar bir idari veya işletmesel önlemle sürdürmenin neden yeterli olmadığı Ek-5’te açıklanmıştır.</w:t>
      </w:r>
    </w:p>
    <w:p>
      <w:pPr>
        <w:spacing w:after="145"/>
      </w:pPr>
      <w:r>
        <w:rPr>
          <w:sz w:val="21"/>
        </w:rPr>
        <w:t xml:space="preserve">5. Kurucu iradesinin korunan unsurları [vakıf senedinden tırnaksız alıntı değil; maddelere sadık somut açıklama]dır. Önerilen amaç hükmü, bu unsurları [hangi ifadelerle] korumakta ve sadece değişen koşulların gerekli kıldığı kapsamda düzenlemektedir. Mevcut amaç maddesinin tüm metni ile önerilen yeni metin Ek-4 karşılaştırma çizelgesine alınmıştır.</w:t>
      </w:r>
    </w:p>
    <w:p>
      <w:pPr>
        <w:spacing w:after="145"/>
      </w:pPr>
      <w:r>
        <w:rPr>
          <w:sz w:val="21"/>
        </w:rPr>
        <w:t xml:space="preserve">6. Mevcut hüküm: “[Eski amaç maddesinin senetteki eksiksiz metni]”</w:t>
      </w:r>
    </w:p>
    <w:p>
      <w:pPr>
        <w:spacing w:after="145"/>
      </w:pPr>
      <w:r>
        <w:rPr>
          <w:sz w:val="21"/>
        </w:rPr>
        <w:t xml:space="preserve">7. Talep edilen yeni hüküm: “[Mahkemeden kabulü istenen YENİ amaç maddesinin eksiksiz metni]”</w:t>
      </w:r>
    </w:p>
    <w:p>
      <w:pPr>
        <w:spacing w:after="145"/>
      </w:pPr>
      <w:r>
        <w:rPr>
          <w:sz w:val="21"/>
        </w:rPr>
        <w:t xml:space="preserve">8. Başvuru, TMK m.113/1’deki AMAÇ değişikliği ile sınırlıdır. Aynı Kanunun m.113/3’ündeki mal veya hakkın değiştirilmesi ya da paraya çevrilmesine ilişkin bağımsız bir izin talebi ileri sürülmemektedir. TMK m.113/1’in gerektirdiği denetim makamının yazılı görüşünün dosyaya kazandırılmasını istiyoruz.</w:t>
      </w:r>
    </w:p>
    <w:p>
      <w:pPr>
        <w:spacing w:after="145"/>
      </w:pPr>
      <w:r>
        <w:rPr>
          <w:b/>
          <w:sz w:val="25"/>
        </w:rPr>
        <w:t xml:space="preserve">HUKUKİ SEBEPLER</w:t>
      </w:r>
    </w:p>
    <w:p>
      <w:pPr>
        <w:spacing w:after="145"/>
      </w:pPr>
      <w:r>
        <w:rPr>
          <w:sz w:val="21"/>
        </w:rPr>
        <w:t xml:space="preserve">4721 sayılı Türk Medenî Kanunu m.111, m.113/1 ve somut talebe uygulanabilir hukuk muhakemesi hükümleri.</w:t>
      </w:r>
    </w:p>
    <w:p>
      <w:pPr>
        <w:spacing w:after="145"/>
      </w:pPr>
      <w:r>
        <w:rPr>
          <w:b/>
          <w:sz w:val="25"/>
        </w:rPr>
        <w:t xml:space="preserve">DELİLLER</w:t>
      </w:r>
    </w:p>
    <w:p>
      <w:pPr>
        <w:spacing w:after="145"/>
      </w:pPr>
      <w:r>
        <w:rPr>
          <w:sz w:val="21"/>
        </w:rPr>
        <w:t xml:space="preserve">Güncel ve kuruluşta tescile esas vakıf senedi; vakıf tüzel kişilik ve yerleşim yeri kayıtları; yönetim organı başvuru ve temsil kararı; eski–yeni amaç metni karşılaştırması; durum ve koşullardaki değişikliği gösteren tarihli resmî kayıtlar; faaliyet, denetim ve mali belgeler; Vakıflar Genel Müdürlüğünden alınacak yazılı görüş; ilgili kurumlardan istenecek kayıtlar ve hukuka uygun deliller.</w:t>
      </w:r>
    </w:p>
    <w:p>
      <w:pPr>
        <w:spacing w:after="145"/>
      </w:pPr>
      <w:r>
        <w:rPr>
          <w:b/>
          <w:sz w:val="25"/>
        </w:rPr>
        <w:t xml:space="preserve">SONUÇ VE İSTEM</w:t>
      </w:r>
    </w:p>
    <w:p>
      <w:pPr>
        <w:spacing w:after="145"/>
      </w:pPr>
      <w:r>
        <w:rPr>
          <w:sz w:val="21"/>
        </w:rPr>
        <w:t xml:space="preserve">Açıklanan nedenlerle; (1) TMK m.113/1 uyarınca ilgili denetim makamının yazılı görüşünün alınmasına, (2) kuruluş sonrası değişen koşulların ve bunların vakfedenin arzusu üzerindeki etkisinin Ek-3, Ek-4 ve Ek-5 kayıtlarıyla incelenmesine, (3) vakıf senedinin [madde] hükmündeki amacın Ek-4’te yer alan tam ve belirli yeni metinle değiştirilmesine, (4) kararın ilgili sicil, tescil ve denetim bildirimleri bakımından gereğinin yapılmasına karar verilmesini saygıyla arz ve talep ederiz.</w:t>
      </w:r>
    </w:p>
    <w:p>
      <w:pPr>
        <w:spacing w:after="145"/>
      </w:pPr>
      <w:r>
        <w:rPr>
          <w:sz w:val="21"/>
        </w:rPr>
        <w:t xml:space="preserve">Tarih: [Gerçek başvuru tarihi]</w:t>
      </w:r>
    </w:p>
    <w:p>
      <w:pPr>
        <w:spacing w:after="145"/>
      </w:pPr>
      <w:r>
        <w:rPr>
          <w:sz w:val="21"/>
        </w:rPr>
        <w:t xml:space="preserve">Talep eden vakıf adına yetkili organ temsilcisi / vekili: [Adı, soyadı ve imzası]</w:t>
      </w:r>
    </w:p>
    <w:p>
      <w:pPr>
        <w:spacing w:after="145"/>
      </w:pPr>
      <w:r>
        <w:rPr>
          <w:b/>
          <w:sz w:val="25"/>
        </w:rPr>
        <w:t xml:space="preserve">EKLER</w:t>
      </w:r>
    </w:p>
    <w:p>
      <w:pPr>
        <w:spacing w:after="145"/>
      </w:pPr>
      <w:r>
        <w:rPr>
          <w:sz w:val="21"/>
        </w:rPr>
        <w:t xml:space="preserve">Ek-1. Kuruluş ve güncel vakıf senedi ile tescil kaydı</w:t>
      </w:r>
    </w:p>
    <w:p>
      <w:pPr>
        <w:spacing w:after="145"/>
      </w:pPr>
      <w:r>
        <w:rPr>
          <w:sz w:val="21"/>
        </w:rPr>
        <w:t xml:space="preserve">Ek-2. Yönetim organı kararı ve temsil yetkisi belgeleri</w:t>
      </w:r>
    </w:p>
    <w:p>
      <w:pPr>
        <w:spacing w:after="145"/>
      </w:pPr>
      <w:r>
        <w:rPr>
          <w:sz w:val="21"/>
        </w:rPr>
        <w:t xml:space="preserve">Ek-3. Kuruluş sonrası değişen koşulları gösteren gerçek kayıtlar</w:t>
      </w:r>
    </w:p>
    <w:p>
      <w:pPr>
        <w:spacing w:after="145"/>
      </w:pPr>
      <w:r>
        <w:rPr>
          <w:sz w:val="21"/>
        </w:rPr>
        <w:t xml:space="preserve">Ek-4. Senedin mevcut ve önerilen amaç maddesi karşılaştırma çizelgesi</w:t>
      </w:r>
    </w:p>
    <w:p>
      <w:pPr>
        <w:spacing w:after="145"/>
      </w:pPr>
      <w:r>
        <w:rPr>
          <w:sz w:val="21"/>
        </w:rPr>
        <w:t xml:space="preserve">Ek-5. Kurucu iradesi, koşul değişikliği ve alternatif çözüm incelemesi</w:t>
      </w:r>
    </w:p>
    <w:p>
      <w:pPr>
        <w:spacing w:after="145"/>
      </w:pPr>
      <w:r>
        <w:rPr>
          <w:sz w:val="21"/>
        </w:rPr>
        <w:t xml:space="preserve">Ek-6. Varsa Vakıflar Genel Müdürlüğü yazışmaları ve ilgili görüş</w:t>
      </w:r>
    </w:p>
    <w:p>
      <w:pPr>
        <w:spacing w:after="145"/>
      </w:pPr>
      <w:r>
        <w:rPr>
          <w:b/>
          <w:sz w:val="25"/>
        </w:rPr>
        <w:t xml:space="preserve">DOLDURMA VE KONTROL NOTU</w:t>
      </w:r>
    </w:p>
    <w:p>
      <w:pPr>
        <w:spacing w:after="145"/>
      </w:pPr>
      <w:r>
        <w:rPr>
          <w:sz w:val="21"/>
        </w:rPr>
        <w:t xml:space="preserve">Bu belge yalnız düzenlenebilir örnektir. Köşeli parantezli alanlar gerçek vakıf kaydıyla doldurulmalı, mevcut olmayan belgeler eklerden çıkarılmalı, bütün tarih ve karar numaraları doğrulanmalıdır. Av. Halil Bakırcı adı, ancak ilgili dosyada usulüne uygun vekâletname mevcutsa vekil alanında kalmalıdır. Vakıf senedinin eski ve yeni amaç maddeleri eksiksiz ve aynı sürümde olmalıdır.</w:t>
      </w:r>
    </w:p>
    <w:p>
      <w:pPr>
        <w:spacing w:after="145"/>
      </w:pPr>
      <w:r>
        <w:rPr>
          <w:sz w:val="21"/>
        </w:rPr>
        <w:t xml:space="preserve">Kanuni dayanak: 4721 sayılı TMK m.113/1 — https://mevzuat.adalet.gov.tr/mevzuat/103249</w:t>
      </w:r>
    </w:p>
    <w:p>
      <w:pPr>
        <w:spacing w:after="145"/>
      </w:pPr>
      <w:r>
        <w:rPr>
          <w:sz w:val="21"/>
        </w:rPr>
        <w:t xml:space="preserve">Hazırlayan: Bakırcı &amp; Keskin Hukuk Bürosu — www.halilbakirci.av.tr</w:t>
      </w:r>
    </w:p>
    <w:sectPr>
      <w:pgSz w:w="11906" w:h="16838"/>
      <w:pgMar w:top="1200" w:right="1050" w:bottom="1200" w:left="1050"/>
    </w:sectPr>
  </w:body>
</w:document>
</file>