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after="140"/>
      </w:pPr>
      <w:r>
        <w:rPr>
          <w:b/>
          <w:sz w:val="21"/>
        </w:rPr>
        <w:t xml:space="preserve">[VAKFIN YERLEŞİM YERİ] ASLİYE HUKUK MAHKEMESİNE</w:t>
      </w:r>
    </w:p>
    <w:p>
      <w:pPr>
        <w:jc w:val="center"/>
        <w:spacing w:after="140"/>
      </w:pPr>
      <w:r>
        <w:rPr>
          <w:b/>
          <w:sz w:val="21"/>
        </w:rPr>
        <w:t xml:space="preserve">VAKIF BAŞLANGIÇ MALVARLIĞININ DEĞİŞTİRİLMESİNE İZİN TALEBİ</w:t>
      </w:r>
    </w:p>
    <w:p>
      <w:pPr>
        <w:spacing w:after="140"/>
      </w:pPr>
      <w:r>
        <w:rPr>
          <w:sz w:val="21"/>
        </w:rPr>
        <w:t xml:space="preserve">TALEP EDEN: [Vakfın gerçek resmî unvanı, vakıf türü, sicil kaydı ve adresi]</w:t>
      </w:r>
    </w:p>
    <w:p>
      <w:pPr>
        <w:spacing w:after="140"/>
      </w:pPr>
      <w:r>
        <w:rPr>
          <w:sz w:val="21"/>
        </w:rPr>
        <w:t xml:space="preserve">YASAL TEMSİLCİ: [Yönetim organı, yetkili kişinin adı ve karar sayısı]</w:t>
      </w:r>
    </w:p>
    <w:p>
      <w:pPr>
        <w:spacing w:after="140"/>
      </w:pPr>
      <w:r>
        <w:rPr>
          <w:sz w:val="21"/>
        </w:rPr>
        <w:t xml:space="preserve">VEKİLİ: Av. Halil BAKIRCI [Sadece gerçek dosyada vekâletname varsa]</w:t>
      </w:r>
    </w:p>
    <w:p>
      <w:pPr>
        <w:spacing w:after="140"/>
      </w:pPr>
      <w:r>
        <w:rPr>
          <w:sz w:val="21"/>
        </w:rPr>
        <w:t xml:space="preserve">İLGİLİ DENETİM MAKAMI: Vakıflar Genel Müdürlüğü [İlgili birim]</w:t>
      </w:r>
    </w:p>
    <w:p>
      <w:pPr>
        <w:spacing w:after="140"/>
      </w:pPr>
      <w:r>
        <w:rPr>
          <w:sz w:val="21"/>
        </w:rPr>
        <w:t xml:space="preserve">KONU: 4721 sayılı TMK m.113/3 ve 5737 sayılı Vakıflar Kanunu m.12 gereğince, kuruluştaki amaç için özgülenen [tam tanımlı mal/hak] unsurunun daha yararlı olanı ile değiştirilmesine / paraya çevrilmesine mahkemece izin verilmesi talebidir.</w:t>
      </w:r>
    </w:p>
    <w:p>
      <w:pPr>
        <w:spacing w:after="140"/>
      </w:pPr>
      <w:r>
        <w:rPr>
          <w:b/>
          <w:sz w:val="21"/>
        </w:rPr>
        <w:t xml:space="preserve">AÇIKLAMALAR</w:t>
      </w:r>
    </w:p>
    <w:p>
      <w:pPr>
        <w:spacing w:after="140"/>
      </w:pPr>
      <w:r>
        <w:rPr>
          <w:sz w:val="21"/>
        </w:rPr>
        <w:t xml:space="preserve">1. Başvuran [vakıf tam unvanı], [gerçek tescil tarihi ve kayıt numarası] uyarınca tüzel kişilik kazanmış bir [gerçek mülhak/cemaat/esnaf/yeni vakıf türü] niteliğindedir. Senedin [madde] hükmü [mal veya hakkın kuruluşta özgülenmesini gösteren tam alıntı] içermektedir. Senet, tescil ve vakıf statüsünü kanıtlayan belgeler Ek-1’de sunulmaktadır.</w:t>
      </w:r>
    </w:p>
    <w:p>
      <w:pPr>
        <w:spacing w:after="140"/>
      </w:pPr>
      <w:r>
        <w:rPr>
          <w:sz w:val="21"/>
        </w:rPr>
        <w:t xml:space="preserve">2. Başvurunun konusu [taşınmazın il/ilçe/mahalle/ada/parsel/bağımsız bölüm/tapu niteliği veya diğer hakkın tam kayıt bilgileri] olup malın [gerçek edinim ve özgüleme kaydı] kuruluşta özgülendiğini göstermektedir. Güncel takyidat ve hak kayıtları Ek-2’dedir. Malın sonradan edinilmiş bir varlık olmadığı dayanak belgelerle gösterilmektedir.</w:t>
      </w:r>
    </w:p>
    <w:p>
      <w:pPr>
        <w:spacing w:after="140"/>
      </w:pPr>
      <w:r>
        <w:rPr>
          <w:sz w:val="21"/>
        </w:rPr>
        <w:t xml:space="preserve">3. TMK m.113/3 kapsamında değişikliği haklı kılan sebepler [gerçek ve belgelenmiş mali, hukuki veya fiilî olgular]dır. Mevcut kullanım, gelir, bakım gideri, hukuki kısıtlamalar ve amaca katkı Ek-3’te değerlendirilmiştir. Kanunda olmayan otomatik bir getiri garantisi ileri sürülmemektedir.</w:t>
      </w:r>
    </w:p>
    <w:p>
      <w:pPr>
        <w:spacing w:after="140"/>
      </w:pPr>
      <w:r>
        <w:rPr>
          <w:sz w:val="21"/>
        </w:rPr>
        <w:t xml:space="preserve">4. Daha yararlı olduğu ileri sürülen karşı mal veya paraya çevirme işlemi [karşı malın sicil ve fiilî kimliği / satış türü, teklif koşulları, elde edilecek bedel ve kullanım amacı] olarak belirlenmiştir. Değerleme raporları, karşılaştırmalı net yarar analizi ve tarihli teklif belgeleri Ek-4 ve Ek-5’te yer almaktadır.</w:t>
      </w:r>
    </w:p>
    <w:p>
      <w:pPr>
        <w:spacing w:after="140"/>
      </w:pPr>
      <w:r>
        <w:rPr>
          <w:sz w:val="21"/>
        </w:rPr>
        <w:t xml:space="preserve">5. Vakfın yönetim organı [gerçek tarih/sayı] kararıyla başvuruya ve önerilen işleme karar vermiştir. Temsile yetkili kişilerin imza ve organ kayıtları Ek-6’dadır. Yargı iznine bağlı başlangıç malı rejimi, 5737 m.12’de sonradan iktisap edilen mallar için düzenlenen organ kararı yoluyla karıştırılmamaktadır.</w:t>
      </w:r>
    </w:p>
    <w:p>
      <w:pPr>
        <w:spacing w:after="140"/>
      </w:pPr>
      <w:r>
        <w:rPr>
          <w:sz w:val="21"/>
        </w:rPr>
        <w:t xml:space="preserve">6. TMK 113/3 ve 5737 m.12’de aranan denetim makamı görüşünün alınmasına, mal veya hakkın daha yararlı karşılıkla değiştirilmesini haklı kılan sebeplerin sunulu belgeler üzerinden incelenmesine karar verilmesini istiyoruz.</w:t>
      </w:r>
    </w:p>
    <w:p>
      <w:pPr>
        <w:spacing w:after="140"/>
      </w:pPr>
      <w:r>
        <w:rPr>
          <w:b/>
          <w:sz w:val="21"/>
        </w:rPr>
        <w:t xml:space="preserve">HUKUKİ SEBEPLER</w:t>
      </w:r>
    </w:p>
    <w:p>
      <w:pPr>
        <w:spacing w:after="140"/>
      </w:pPr>
      <w:r>
        <w:rPr>
          <w:sz w:val="21"/>
        </w:rPr>
        <w:t xml:space="preserve">4721 sayılı Türk Medenî Kanunu m.111, m.113/3; 5737 sayılı Vakıflar Kanunu m.12 ve ilgili usul hükümleri.</w:t>
      </w:r>
    </w:p>
    <w:p>
      <w:pPr>
        <w:spacing w:after="140"/>
      </w:pPr>
      <w:r>
        <w:rPr>
          <w:b/>
          <w:sz w:val="21"/>
        </w:rPr>
        <w:t xml:space="preserve">DELİLLER</w:t>
      </w:r>
    </w:p>
    <w:p>
      <w:pPr>
        <w:spacing w:after="140"/>
      </w:pPr>
      <w:r>
        <w:rPr>
          <w:sz w:val="21"/>
        </w:rPr>
        <w:t xml:space="preserve">Kuruluş ve güncel vakıf senedi, vakıf statüsü ve tescil kayıtları, başlangıç özgüleme belgeleri, tapu/sicil ve takyidat kayıtları, yönetim organı başvuru ve temsil kararları, değerleme ve ekspertiz kayıtları, nakit akışı, gelir-gider ve yarar karşılaştırmaları, teklifler, denetim görüşü ve hukuka uygun diğer deliller.</w:t>
      </w:r>
    </w:p>
    <w:p>
      <w:pPr>
        <w:spacing w:after="140"/>
      </w:pPr>
      <w:r>
        <w:rPr>
          <w:b/>
          <w:sz w:val="21"/>
        </w:rPr>
        <w:t xml:space="preserve">SONUÇ VE İSTEM</w:t>
      </w:r>
    </w:p>
    <w:p>
      <w:pPr>
        <w:spacing w:after="140"/>
      </w:pPr>
      <w:r>
        <w:rPr>
          <w:sz w:val="21"/>
        </w:rPr>
        <w:t xml:space="preserve">Belgelendirilmiş nedenlerle; (1) denetim makamının yazılı görüşünün alınmasına, (2) TMK 113/3 ve 5737 m.12 kapsamında haklı sebep ve vakıf yararı değerlendirmesi yapılmasına, (3) kuruluşta vakfa özgülenen [tam tanımlı mal/hak] unsurunun [karşı mal veya paraya çevirme işlemi kesin ve açık tanımlanarak] şeklinde değiştirilmesine / paraya çevrilmesine izin verilmesine, (4) kararın ilgili sicil ve denetim işlemlerinde değerlendirilmesine karar verilmesini saygıyla arz ve talep ederiz.</w:t>
      </w:r>
    </w:p>
    <w:p>
      <w:pPr>
        <w:spacing w:after="140"/>
      </w:pPr>
      <w:r>
        <w:rPr>
          <w:sz w:val="21"/>
        </w:rPr>
        <w:t xml:space="preserve">Tarih: [Gerçek başvuru tarihi]</w:t>
      </w:r>
    </w:p>
    <w:p>
      <w:pPr>
        <w:spacing w:after="140"/>
      </w:pPr>
      <w:r>
        <w:rPr>
          <w:sz w:val="21"/>
        </w:rPr>
        <w:t xml:space="preserve">Talep eden vakfın yetkili temsilcisi / vekili: [Gerçek imza ve ad-soyad]</w:t>
      </w:r>
    </w:p>
    <w:p>
      <w:pPr>
        <w:spacing w:after="140"/>
      </w:pPr>
      <w:r>
        <w:rPr>
          <w:b/>
          <w:sz w:val="21"/>
        </w:rPr>
        <w:t xml:space="preserve">EKLER</w:t>
      </w:r>
    </w:p>
    <w:p>
      <w:pPr>
        <w:spacing w:after="140"/>
      </w:pPr>
      <w:r>
        <w:rPr>
          <w:sz w:val="21"/>
        </w:rPr>
        <w:t xml:space="preserve">Ek-1: Kuruluş ve güncel vakıf senedi, tescil ve vakıf türü belgeleri</w:t>
      </w:r>
    </w:p>
    <w:p>
      <w:pPr>
        <w:spacing w:after="140"/>
      </w:pPr>
      <w:r>
        <w:rPr>
          <w:sz w:val="21"/>
        </w:rPr>
        <w:t xml:space="preserve">Ek-2: Değiştirilecek mal/hak ve varsa tapu takyidat kayıtları</w:t>
      </w:r>
    </w:p>
    <w:p>
      <w:pPr>
        <w:spacing w:after="140"/>
      </w:pPr>
      <w:r>
        <w:rPr>
          <w:sz w:val="21"/>
        </w:rPr>
        <w:t xml:space="preserve">Ek-3: Eski malın kullanım ve haklı sebep analizi</w:t>
      </w:r>
    </w:p>
    <w:p>
      <w:pPr>
        <w:spacing w:after="140"/>
      </w:pPr>
      <w:r>
        <w:rPr>
          <w:sz w:val="21"/>
        </w:rPr>
        <w:t xml:space="preserve">Ek-4: Önerilen karşılık ve değerleme/ekspertiz raporu</w:t>
      </w:r>
    </w:p>
    <w:p>
      <w:pPr>
        <w:spacing w:after="140"/>
      </w:pPr>
      <w:r>
        <w:rPr>
          <w:sz w:val="21"/>
        </w:rPr>
        <w:t xml:space="preserve">Ek-5: Vakfa yarar matrisi, ödeme ve gelir planı</w:t>
      </w:r>
    </w:p>
    <w:p>
      <w:pPr>
        <w:spacing w:after="140"/>
      </w:pPr>
      <w:r>
        <w:rPr>
          <w:sz w:val="21"/>
        </w:rPr>
        <w:t xml:space="preserve">Ek-6: Başvuru kararı ve temsil yetki belgeleri</w:t>
      </w:r>
    </w:p>
    <w:p>
      <w:pPr>
        <w:spacing w:after="140"/>
      </w:pPr>
      <w:r>
        <w:rPr>
          <w:sz w:val="21"/>
        </w:rPr>
        <w:t xml:space="preserve">Ek-7: Varsa denetim makamı görüşü ve yazışmaları</w:t>
      </w:r>
    </w:p>
    <w:p>
      <w:pPr>
        <w:spacing w:after="140"/>
      </w:pPr>
      <w:r>
        <w:rPr>
          <w:b/>
          <w:sz w:val="21"/>
        </w:rPr>
        <w:t xml:space="preserve">DİLEKÇE ÖNCESİ HUKUKİ KONTROL</w:t>
      </w:r>
    </w:p>
    <w:p>
      <w:pPr>
        <w:spacing w:after="140"/>
      </w:pPr>
      <w:r>
        <w:rPr>
          <w:sz w:val="21"/>
        </w:rPr>
        <w:t xml:space="preserve">Bu örnek mahkeme iznine tabi BAŞLANGIÇTA ÖZGÜLENEN mal/hak içindir. Sonradan edinilmiş malların işlem yolu 5737 m.12’de farklıdır. Malın gerçek kayıtları, tapu şerhleri, değerleme tarihi ve karşılık somutlaştırılmadan dilekçe kullanılamaz. Her bilgi gerçek belgeyle doğrulanmalıdır.</w:t>
      </w:r>
    </w:p>
    <w:p>
      <w:pPr>
        <w:spacing w:after="140"/>
      </w:pPr>
      <w:r>
        <w:rPr>
          <w:sz w:val="21"/>
        </w:rPr>
        <w:t xml:space="preserve">İlgili resmî kaynaklar: https://mevzuat.adalet.gov.tr/mevzuat/103249 ve https://www.vgm.gov.tr/</w:t>
      </w:r>
    </w:p>
    <w:p>
      <w:pPr>
        <w:spacing w:after="140"/>
      </w:pPr>
      <w:r>
        <w:rPr>
          <w:sz w:val="21"/>
        </w:rPr>
        <w:t xml:space="preserve">Bakırcı &amp; Keskin Hukuk Bürosu — https://halilbakirci.av.tr</w:t>
      </w:r>
    </w:p>
    <w:sectPr>
      <w:pgSz w:w="11906" w:h="16838"/>
      <w:pgMar w:top="1200" w:right="1060" w:bottom="1200" w:left="1060"/>
    </w:sectPr>
  </w:body>
</w:document>
</file>