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60"/>
      </w:pPr>
      <w:r>
        <w:rPr>
          <w:b/>
          <w:sz w:val="21"/>
        </w:rPr>
        <w:t xml:space="preserve">[VAKFIN YERLEŞİM YERİ] ASLİYE HUKUK MAHKEMESİNE</w:t>
      </w:r>
    </w:p>
    <w:p>
      <w:pPr>
        <w:jc w:val="center"/>
        <w:spacing w:after="160"/>
      </w:pPr>
      <w:r>
        <w:rPr>
          <w:b/>
          <w:sz w:val="21"/>
        </w:rPr>
        <w:t xml:space="preserve">VAKIF YÖNETİMİ VE İŞLEYİŞİNİN DEĞİŞTİRİLMESİ TALEBİ</w:t>
      </w:r>
    </w:p>
    <w:p>
      <w:pPr>
        <w:spacing w:after="160"/>
      </w:pPr>
      <w:r>
        <w:rPr>
          <w:sz w:val="21"/>
        </w:rPr>
        <w:t xml:space="preserve">TALEP EDEN: [Vakıf tüzel kişisinin resmî tam unvanı, sicil numarası, yerleşim yeri]</w:t>
      </w:r>
    </w:p>
    <w:p>
      <w:pPr>
        <w:spacing w:after="160"/>
      </w:pPr>
      <w:r>
        <w:rPr>
          <w:sz w:val="21"/>
        </w:rPr>
        <w:t xml:space="preserve">YETKİLİ TEMSİLCİ: [Yetkili yönetim organı ve temsilci adı, karar sayısı]</w:t>
      </w:r>
    </w:p>
    <w:p>
      <w:pPr>
        <w:spacing w:after="160"/>
      </w:pPr>
      <w:r>
        <w:rPr>
          <w:sz w:val="21"/>
        </w:rPr>
        <w:t xml:space="preserve">VEKİLİ: Av. Halil BAKIRCI [Yalnız ilgili dosyada vekâletname varsa]</w:t>
      </w:r>
    </w:p>
    <w:p>
      <w:pPr>
        <w:spacing w:after="160"/>
      </w:pPr>
      <w:r>
        <w:rPr>
          <w:sz w:val="21"/>
        </w:rPr>
        <w:t xml:space="preserve">İLGİLİ DENETİM MAKAMI: Vakıflar Genel Müdürlüğü [İlgili birim doğrulanarak]</w:t>
      </w:r>
    </w:p>
    <w:p>
      <w:pPr>
        <w:spacing w:after="160"/>
      </w:pPr>
      <w:r>
        <w:rPr>
          <w:sz w:val="21"/>
        </w:rPr>
        <w:t xml:space="preserve">KONU: TMK 112/1 uyarınca haklı sebepler nedeniyle vakfın örgütlenme, yönetim ve işleyiş hükmünün mahkeme kararıyla değiştirilmesi talebidir.</w:t>
      </w:r>
    </w:p>
    <w:p>
      <w:pPr>
        <w:spacing w:after="160"/>
      </w:pPr>
      <w:r>
        <w:rPr>
          <w:b/>
          <w:sz w:val="21"/>
        </w:rPr>
        <w:t xml:space="preserve">AÇIKLAMALAR</w:t>
      </w:r>
    </w:p>
    <w:p>
      <w:pPr>
        <w:spacing w:after="160"/>
      </w:pPr>
      <w:r>
        <w:rPr>
          <w:sz w:val="21"/>
        </w:rPr>
        <w:t xml:space="preserve">1. Talep eden [vakıf tam unvanı], [gerçek tescil tarihi ve kayıt numarası] ile kurulmuş olup senedin [gerçek maddeler] hükümleri mevcut örgütlenme, yönetim ve işleyiş düzenini belirlemektedir. Onaylı vakıf senedi ve güncel kayıt Ek-1’de sunulmuştur.</w:t>
      </w:r>
    </w:p>
    <w:p>
      <w:pPr>
        <w:spacing w:after="160"/>
      </w:pPr>
      <w:r>
        <w:rPr>
          <w:sz w:val="21"/>
        </w:rPr>
        <w:t xml:space="preserve">2. Vakıf yönetim organının [gerçek tarih, numara] sayılı kararı, TMK m.112/1 uyarınca mahkemeye başvuruya ilişkindir. Organın oluşumu, toplantı ve karar nisabı, temsile yetkili üyeler Ek-2’deki güncel kayıtlar üzerinde gösterilmiştir.</w:t>
      </w:r>
    </w:p>
    <w:p>
      <w:pPr>
        <w:spacing w:after="160"/>
      </w:pPr>
      <w:r>
        <w:rPr>
          <w:sz w:val="21"/>
        </w:rPr>
        <w:t xml:space="preserve">3. Vakıf senedindeki [belirli maddenin numarası ve tam hükmü] kapsamında [somut, belgelenmiş işleyiş sorunu] meydana gelmiştir. Bu sorun [belirli karara, temsil işlemine veya faaliyete] [belgelerle kanıtlanmış etki] göstermiştir. Tarih, toplantı, tutanak ve işlem belgeleri Ek-3’tedir.</w:t>
      </w:r>
    </w:p>
    <w:p>
      <w:pPr>
        <w:spacing w:after="160"/>
      </w:pPr>
      <w:r>
        <w:rPr>
          <w:sz w:val="21"/>
        </w:rPr>
        <w:t xml:space="preserve">4. İleri sürülen haklı sebep, yönetim organı üyelerinin kişisel görüş ayrılığından ibaret değildir. Somut sorun [kanıtlanmış olgular] yüzünden vakfın yönetim ve işleyişinde [gerçek engel] ortaya çıkarmaktadır. Daha dar idari önlemler [incelenen gerçek seçenekler] ve neden yeterli olmadıkları Ek-4’te açıklanmıştır.</w:t>
      </w:r>
    </w:p>
    <w:p>
      <w:pPr>
        <w:spacing w:after="160"/>
      </w:pPr>
      <w:r>
        <w:rPr>
          <w:sz w:val="21"/>
        </w:rPr>
        <w:t xml:space="preserve">5. Vakfedenin senette belirttiği yönetim ve amaç iradesi [somut kurucu hüküm] ile ortaya konulmuştur. Önerilen yeni yönetim hükmü bu iradeyi [korunan organ/denetim/temsil unsurları] yönünden sürdürmektedir. Başvurumuz kuruluş amacının değiştirilmesini veya vakıf mallarının satılmasını hedeflememektedir.</w:t>
      </w:r>
    </w:p>
    <w:p>
      <w:pPr>
        <w:spacing w:after="160"/>
      </w:pPr>
      <w:r>
        <w:rPr>
          <w:sz w:val="21"/>
        </w:rPr>
        <w:t xml:space="preserve">6. Mevcut hüküm: “[Senetteki eski örgütlenme, yönetim ve işleyiş maddesinin TAM metni]”</w:t>
      </w:r>
    </w:p>
    <w:p>
      <w:pPr>
        <w:spacing w:after="160"/>
      </w:pPr>
      <w:r>
        <w:rPr>
          <w:sz w:val="21"/>
        </w:rPr>
        <w:t xml:space="preserve">7. Önerilen yeni hüküm: “[Mahkemeden kabulü istenen YENİ örgütlenme, yönetim ve işleyiş maddesinin TAM metni]”</w:t>
      </w:r>
    </w:p>
    <w:p>
      <w:pPr>
        <w:spacing w:after="160"/>
      </w:pPr>
      <w:r>
        <w:rPr>
          <w:sz w:val="21"/>
        </w:rPr>
        <w:t xml:space="preserve">8. TMK 112/1 uyarınca denetim makamının yazılı görüşünün alınmasını istiyoruz. Bu dilekçe TMK 112/2’de düzenlenen belirli yöneticilerin görevden alınması istemini içermemektedir. Talebimizin kapsamı yalnız yukarıda gösterilen senet hükmü ile sınırlıdır.</w:t>
      </w:r>
    </w:p>
    <w:p>
      <w:pPr>
        <w:spacing w:after="160"/>
      </w:pPr>
      <w:r>
        <w:rPr>
          <w:b/>
          <w:sz w:val="21"/>
        </w:rPr>
        <w:t xml:space="preserve">HUKUKİ NEDENLER</w:t>
      </w:r>
    </w:p>
    <w:p>
      <w:pPr>
        <w:spacing w:after="160"/>
      </w:pPr>
      <w:r>
        <w:rPr>
          <w:sz w:val="21"/>
        </w:rPr>
        <w:t xml:space="preserve">4721 sayılı Türk Medenî Kanunu m.106, m.111, m.112/1 ve somut talebe uygulanabilir usul hükümleri.</w:t>
      </w:r>
    </w:p>
    <w:p>
      <w:pPr>
        <w:spacing w:after="160"/>
      </w:pPr>
      <w:r>
        <w:rPr>
          <w:b/>
          <w:sz w:val="21"/>
        </w:rPr>
        <w:t xml:space="preserve">DELİLLER</w:t>
      </w:r>
    </w:p>
    <w:p>
      <w:pPr>
        <w:spacing w:after="160"/>
      </w:pPr>
      <w:r>
        <w:rPr>
          <w:sz w:val="21"/>
        </w:rPr>
        <w:t xml:space="preserve">Kuruluş ve güncel vakıf senedi, resmî tescil kayıtları, güncel yönetim organı ve temsil belgeleri, başvuru kararı, toplantı ve karar defterleri, işleyiş tıkanıklığını gösteren gerçek kayıtlar, eski-yeni hüküm karşılaştırması, Vakıflar Genel Müdürlüğünden alınacak yazılı görüş ve hukuka uygun diğer deliller.</w:t>
      </w:r>
    </w:p>
    <w:p>
      <w:pPr>
        <w:spacing w:after="160"/>
      </w:pPr>
      <w:r>
        <w:rPr>
          <w:b/>
          <w:sz w:val="21"/>
        </w:rPr>
        <w:t xml:space="preserve">SONUÇ VE İSTEM</w:t>
      </w:r>
    </w:p>
    <w:p>
      <w:pPr>
        <w:spacing w:after="160"/>
      </w:pPr>
      <w:r>
        <w:rPr>
          <w:sz w:val="21"/>
        </w:rPr>
        <w:t xml:space="preserve">(1) Denetim makamının TMK 112/1 kapsamındaki yazılı görüşünün alınmasına, (2) Ek-3 ve Ek-4 ile belgelendirilen haklı sebeplerin değerlendirilmesine, (3) vakıf senedinin [madde no] hükmünün karşılaştırma cetvelinde tam metin gösterilen yeni örgütlenme, yönetim ve işleyiş düzeni ile değiştirilmesine, (4) kararın ilgili sicil ve denetim makamı işlemleri bakımından gereğinin yapılmasına karar verilmesini saygıyla arz ve talep ederiz.</w:t>
      </w:r>
    </w:p>
    <w:p>
      <w:pPr>
        <w:spacing w:after="160"/>
      </w:pPr>
      <w:r>
        <w:rPr>
          <w:sz w:val="21"/>
        </w:rPr>
        <w:t xml:space="preserve">Tarih: [Gerçek mahkeme başvuru tarihi]</w:t>
      </w:r>
    </w:p>
    <w:p>
      <w:pPr>
        <w:spacing w:after="160"/>
      </w:pPr>
      <w:r>
        <w:rPr>
          <w:sz w:val="21"/>
        </w:rPr>
        <w:t xml:space="preserve">Talep eden vakıf adına yasal temsilci / vekili: [Ad ve gerçek imza]</w:t>
      </w:r>
    </w:p>
    <w:p>
      <w:pPr>
        <w:spacing w:after="160"/>
      </w:pPr>
      <w:r>
        <w:rPr>
          <w:b/>
          <w:sz w:val="21"/>
        </w:rPr>
        <w:t xml:space="preserve">EKLER</w:t>
      </w:r>
    </w:p>
    <w:p>
      <w:pPr>
        <w:spacing w:after="160"/>
      </w:pPr>
      <w:r>
        <w:rPr>
          <w:sz w:val="21"/>
        </w:rPr>
        <w:t xml:space="preserve">Ek-1. Vakıf senedi ve tescil kaydı</w:t>
      </w:r>
    </w:p>
    <w:p>
      <w:pPr>
        <w:spacing w:after="160"/>
      </w:pPr>
      <w:r>
        <w:rPr>
          <w:sz w:val="21"/>
        </w:rPr>
        <w:t xml:space="preserve">Ek-2. Yetkili organ ve temsil belgeleri, başvuru kararı</w:t>
      </w:r>
    </w:p>
    <w:p>
      <w:pPr>
        <w:spacing w:after="160"/>
      </w:pPr>
      <w:r>
        <w:rPr>
          <w:sz w:val="21"/>
        </w:rPr>
        <w:t xml:space="preserve">Ek-3. İşleyişte haklı sebebi gösteren tarihli belgeler</w:t>
      </w:r>
    </w:p>
    <w:p>
      <w:pPr>
        <w:spacing w:after="160"/>
      </w:pPr>
      <w:r>
        <w:rPr>
          <w:sz w:val="21"/>
        </w:rPr>
        <w:t xml:space="preserve">Ek-4. Sorun–önlem değerlendirmesi ve eski-yeni madde tam metin karşılaştırması</w:t>
      </w:r>
    </w:p>
    <w:p>
      <w:pPr>
        <w:spacing w:after="160"/>
      </w:pPr>
      <w:r>
        <w:rPr>
          <w:sz w:val="21"/>
        </w:rPr>
        <w:t xml:space="preserve">Ek-5. Varsa denetim makamı görüş ve yazışmaları</w:t>
      </w:r>
    </w:p>
    <w:p>
      <w:pPr>
        <w:spacing w:after="160"/>
      </w:pPr>
      <w:r>
        <w:rPr>
          <w:b/>
          <w:sz w:val="21"/>
        </w:rPr>
        <w:t xml:space="preserve">DOLDURMA TALİMATI</w:t>
      </w:r>
    </w:p>
    <w:p>
      <w:pPr>
        <w:spacing w:after="160"/>
      </w:pPr>
      <w:r>
        <w:rPr>
          <w:sz w:val="21"/>
        </w:rPr>
        <w:t xml:space="preserve">Köşeli parantezli bütün alanlar vakfın gerçek senedi, yetki belgeleri ve somut delillere göre doldurulmalıdır. İptal edilmiş eski kanun ibareleri yürürlükteki zorunluluk gibi kullanılmaz. TMK 112/1 kapsamındaki örgüt/yönetim değişikliği ile TMK 112/2 yönetici azli ayrı işlemlerdir.</w:t>
      </w:r>
    </w:p>
    <w:p>
      <w:pPr>
        <w:spacing w:after="160"/>
      </w:pPr>
      <w:r>
        <w:rPr>
          <w:sz w:val="21"/>
        </w:rPr>
        <w:t xml:space="preserve">Resmî mevzuat: https://mevzuat.adalet.gov.tr/mevzuat/103249</w:t>
      </w:r>
    </w:p>
    <w:p>
      <w:pPr>
        <w:spacing w:after="160"/>
      </w:pPr>
      <w:r>
        <w:rPr>
          <w:sz w:val="21"/>
        </w:rPr>
        <w:t xml:space="preserve">Bakırcı &amp; Keskin Hukuk Bürosu — https://halilbakirci.av.tr</w:t>
      </w:r>
    </w:p>
    <w:sectPr>
      <w:pgSz w:w="11906" w:h="16838"/>
      <w:pgMar w:top="1200" w:right="1050" w:bottom="1200" w:left="1050"/>
    </w:sectPr>
  </w:body>
</w:document>
</file>