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NÖBETÇİ AİLE MAHKEMESİNE</w:t>
        <w:br/>
        <w:t>[Aile mahkemesi bulunmayan yerde uygun mahkeme başlığı]</w:t>
      </w:r>
    </w:p>
    <w:p>
      <w:r>
        <w:t>TALEP EDEN / DAVACI: [Ad-soyad, T.C. kimlik no, adres]</w:t>
        <w:br/>
        <w:t>DİĞER EBEVEYN / DAVALI: [Ad-soyad, bilinen adres]</w:t>
        <w:br/>
        <w:t>VEKİLİ: [Varsa avukat bilgileri]</w:t>
        <w:br/>
        <w:t>ÇOCUK: [Ad-soyad, doğum tarihi, ilgili nüfus bilgisi]</w:t>
        <w:br/>
        <w:t>ÖNCEKİ KARAR: [Mahkeme, esas/karar no, tarih ve kesinleşme tarihi]</w:t>
      </w:r>
    </w:p>
    <w:p>
      <w:r>
        <w:t>KONU: Değişen koşullar ve çocuğun üstün yararı nedeniyle velayetin değiştirilmesi; somut gerekçesi açıklanan geçici önlemler, kişisel ilişki ve bakım giderleri hakkında düzenleme istemidir.</w:t>
      </w:r>
    </w:p>
    <w:p>
      <w:pPr>
        <w:keepNext/>
      </w:pPr>
      <w:r>
        <w:rPr>
          <w:b/>
        </w:rPr>
        <w:t>AÇIKLAMALAR</w:t>
      </w:r>
    </w:p>
    <w:p>
      <w:r>
        <w:t>1. [Önceki karar] ile çocuğun velayeti [ebeveyn]e bırakılmış; kişisel ilişki ve nafaka [karardaki kapsam] şeklinde düzenlenmiştir. Karar ve kesinleşme şerhi Ek-1’dedir.</w:t>
      </w:r>
    </w:p>
    <w:p>
      <w:r>
        <w:t>2. Karardan sonra [tarih] itibarıyla [yeni olay] meydana gelmiştir. Bu durum çocuğun [okul/sağlık/güvenlik/bakım] ihtiyacını [somut etki] biçiminde etkilemektedir. İlgili kayıt [belge adı, tarih ve ek numarası]dır.</w:t>
      </w:r>
    </w:p>
    <w:p>
      <w:r>
        <w:t>3. Çocuğun mevcut günlük bakım düzeni [kim, nerede, hangi saatlerde] şeklindedir. Önerdiğim bakım planında [konut, okul ulaşımı, çalışma saatleri, destek veren kişiler ve sağlık takibi] bulunmaktadır. Bu planı gösteren belgeler [ekler]dir.</w:t>
      </w:r>
    </w:p>
    <w:p>
      <w:r>
        <w:t>4. Her iki ebeveynin yaşam koşullarının uzman incelemesiyle değerlendirilmesini; çocuğun yaşına ve olgunluğuna uygun biçimde, yönlendirilmeden görüş açıklamasına imkân tanınmasını talep ederim. Görüşü, diğer deliller ve üstün yararıyla birlikte değerlendirilmelidir.</w:t>
      </w:r>
    </w:p>
    <w:p>
      <w:r>
        <w:t>5. [Geçici tedbir gerekiyorsa:] Yargılama sonuna kadar beklenmesi [somut güncel risk] nedeniyle sakıncalıdır. [İstenen ölçülü önlem] talebimin dayanağı [belge ve olay]dır. [Somut risk bulunmuyorsa bu paragraf çıkarılır.]</w:t>
      </w:r>
    </w:p>
    <w:p>
      <w:r>
        <w:t>6. Kişisel ilişkinin [çocuğun okul, sağlık, ulaşım ve güvenlik koşullarına uygun öneri] dikkate alınarak düzenlenmesini; çocuğun belgeli bakım ve eğitim giderleri bakımından [somut nafaka talebi ve mevcut hükümle ilişkisi]nin değerlendirilmesini isterim.</w:t>
      </w:r>
    </w:p>
    <w:p>
      <w:pPr>
        <w:keepNext w:val="0"/>
      </w:pPr>
      <w:r>
        <w:rPr>
          <w:b/>
        </w:rPr>
        <w:t>HUKUKİ NEDENLER:</w:t>
      </w:r>
      <w:r>
        <w:t xml:space="preserve"> TMK 182, 183, 323–324, 335 ve devamı; HMK 382, 384–385; 4787 sayılı Kanun ve somut talebe ilişkin diğer hükümler.</w:t>
      </w:r>
    </w:p>
    <w:p>
      <w:pPr>
        <w:keepNext w:val="0"/>
      </w:pPr>
      <w:r>
        <w:rPr>
          <w:b/>
        </w:rPr>
        <w:t>DELİLLER:</w:t>
      </w:r>
      <w:r>
        <w:t xml:space="preserve"> Önceki karar ve kesinleşme şerhi, nüfus ve adres kayıtları, [okul kaydı], [ilgili sağlık belgesi], sosyal inceleme, [somut olayı bilen tanıklar], hukuka uygun yazışmalar ve [kurum, tarih, belge türü belirtilerek celbi istenen kayıtlar].</w:t>
      </w:r>
    </w:p>
    <w:p>
      <w:pPr>
        <w:keepNext/>
      </w:pPr>
      <w:r>
        <w:rPr>
          <w:b/>
        </w:rPr>
        <w:t>SONUÇ VE İSTEM:</w:t>
      </w:r>
      <w:r>
        <w:t xml:space="preserve"> Açıklanan nedenlerle;</w:t>
      </w:r>
    </w:p>
    <w:p>
      <w:r>
        <w:t>1. Somut gerekçesi gösterilen geçici önlemlerin değerlendirilmesine,</w:t>
        <w:br/>
        <w:t>2. Güncel sosyal inceleme yapılmasına ve gerekli kayıtların ilgili kurumlardan getirtilmesine,</w:t>
        <w:br/>
        <w:t>3. Çocuğun görüşünün yaş ve olgunluğuna uygun şekilde alınmasına,</w:t>
        <w:br/>
        <w:t>4. Çocuğun üstün yararı gereğince velayetin [talep eden ebeveyn]e verilmesine,</w:t>
        <w:br/>
        <w:t>5. Diğer ebeveynle kişisel ilişkinin ve çocuğun bakım giderlerine katılımın somut koşullara göre düzenlenmesine,</w:t>
        <w:br/>
        <w:t>6. Yargılama giderleri ve varsa vekâlet ücreti hakkında hukuki duruma uygun karar verilmesine</w:t>
      </w:r>
    </w:p>
    <w:p>
      <w:pPr>
        <w:keepLines/>
      </w:pPr>
      <w:r>
        <w:t>karar verilmesini talep ederim.</w:t>
        <w:br/>
        <w:t>[Tarih]</w:t>
        <w:br/>
        <w:t>[Ad-soyad ve imza]</w:t>
      </w:r>
    </w:p>
    <w:p>
      <w:pPr>
        <w:keepNext w:val="0"/>
      </w:pPr>
      <w:r>
        <w:rPr>
          <w:b/>
        </w:rPr>
        <w:t>EKLER:</w:t>
      </w:r>
      <w:r>
        <w:t xml:space="preserve"> [Numaralı, açıklamadaki atıflarla uyumlu liste]</w:t>
      </w:r>
    </w:p>
    <w:p>
      <w:pPr>
        <w:pageBreakBefore/>
      </w:pPr>
      <w:r>
        <w:rPr>
          <w:b/>
          <w:sz w:val="26"/>
        </w:rPr>
        <w:t>HAZIRLIK NOTLARI — DİLEKÇEYE EKLENMEZ</w:t>
      </w:r>
    </w:p>
    <w:p>
      <w:r>
        <w:rPr>
          <w:b/>
        </w:rPr>
        <w:t xml:space="preserve">Mahkeme ve yetki: </w:t>
      </w:r>
      <w:r>
        <w:t>Aile mahkemesi; bulunmayan yerde aile mahkemesi sıfatıyla görevli asliye hukuk mahkemesi başlığı kullanılır. Bağımsız velayet değişikliği işinde HMK m.384 uyarınca talep edenin veya ilgililerden birinin oturduğu yer mahkemesi değerlendirilir. Önceki boşanma davasının mahkemesi otomatik olarak tek yetkili yer değildir. Yurt dışı bağlantısında milletlerarası yetki ve çocuğun mutat meskeni ayrıca incelenir.</w:t>
      </w:r>
    </w:p>
    <w:p>
      <w:r>
        <w:rPr>
          <w:b/>
        </w:rPr>
        <w:t xml:space="preserve">Değişen koşul ve delil: </w:t>
      </w:r>
      <w:r>
        <w:t>Eski karar, kesinleşme bilgisi ve sonrasındaki olayları tarih sırasıyla gösterin. Her olay için çocuğa etkisini ve belge/kurum/tanık bağlantısını açıklayın. Diğer ebeveynin yeniden evlenmesi veya yalnız gelir farkı tek başına velayet değişikliği nedeni değildir.</w:t>
      </w:r>
    </w:p>
    <w:p>
      <w:r>
        <w:rPr>
          <w:b/>
        </w:rPr>
        <w:t xml:space="preserve">Çocuğun görüşü: </w:t>
      </w:r>
      <w:r>
        <w:t>Yaş ve olgunluğa uygun, yönlendirmeden görüş alınmasını isteyin. Çocuğun tercihinin tek başına sonucu belirlediğini yazmayın; bakım düzeni, sosyal inceleme ve üstün yarar birlikte değerlendirilir.</w:t>
      </w:r>
    </w:p>
    <w:p>
      <w:r>
        <w:rPr>
          <w:b/>
        </w:rPr>
        <w:t xml:space="preserve">Tedbir ve ek talepler: </w:t>
      </w:r>
      <w:r>
        <w:t>Güncel risk yoksa geçici tedbir paragrafını ve ilgili sonuç talebini çıkarın. Kişisel ilişki önerisini zaman, teslim ve ulaşım yönünden somutlaştırın. Nafaka talebinde miktarı, giderleri ve mevcut kararla ilişkisini belirtin.</w:t>
      </w:r>
    </w:p>
    <w:p>
      <w:r>
        <w:rPr>
          <w:b/>
        </w:rPr>
        <w:t xml:space="preserve">Son kontrol: </w:t>
      </w:r>
      <w:r>
        <w:t>Köşeli parantezleri doldurun; kullanılmayan talepleri silin. Sunulmayan belgeyi ekli göstermeyin. Vekil yoksa vekil satırını çıkarın ve kendi adınızla imzalayın. Hazırlık sayfasını mahkemeye sunulacak metinden çıkarın.</w:t>
      </w:r>
    </w:p>
    <w:p>
      <w:r>
        <w:t>Belge hazırlama ve kaynak kontrolü: 8 Ekim 2026</w:t>
      </w:r>
    </w:p>
    <w:p>
      <w:pPr>
        <w:keepLines/>
      </w:pPr>
      <w:r>
        <w:t>TMK m.182–183, 323–324 ve 335 ve devamı</w:t>
        <w:br/>
        <w:t>https://mevzuat.adalet.gov.tr/mevzuat/103249</w:t>
      </w:r>
    </w:p>
    <w:p>
      <w:pPr>
        <w:keepLines/>
      </w:pPr>
      <w:r>
        <w:t>HMK m.382, 384–385</w:t>
        <w:br/>
        <w:t>https://mevzuat.adalet.gov.tr/mevzuat/103103</w:t>
      </w:r>
    </w:p>
    <w:p>
      <w:pPr>
        <w:keepLines/>
      </w:pPr>
      <w:r>
        <w:t>Yargıtay 5. HD, 07.07.2025, 2025/7006 E., 2025/10509 K.</w:t>
        <w:br/>
        <w:t>https://mevzuat.adalet.gov.tr/ictihat/1163239900</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imes New Roman" w:hAnsi="Times New Roman"/>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Velayetin Değiştirilmesi Dilekçesi</dc:title>
  <dc:subject>Düzenlenebilir örnek ve ayrı hazırlık notları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