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Yeni aile yükümlülüğünde bağışlama sözünü geri alma</w:t>
      </w:r>
    </w:p>
    <w:p>
      <w:pPr>
        <w:pStyle w:val="Subtitle"/>
      </w:pPr>
      <w:r>
        <w:rPr>
          <w:color w:val="000000"/>
        </w:rPr>
        <w:t>İfa edilmemiş edim ve sonradan doğan yükümlülük • TBK 296</w:t>
      </w:r>
    </w:p>
    <w:p>
      <w:r>
        <w:rPr>
          <w:color w:val="000000"/>
        </w:rPr>
        <w:t>[BAĞIŞLANANIN GERÇEK ADI]’NA</w:t>
      </w:r>
    </w:p>
    <w:p>
      <w:r>
        <w:rPr>
          <w:color w:val="000000"/>
        </w:rPr>
        <w:t>BİLDİRİMDE BULUNAN BAĞIŞLAMA SÖZÜ VEREN: [Gerçek ad ve adres]</w:t>
        <w:br/>
        <w:t>MUHATAP BAĞIŞLANAN: [Gerçek ad ve adres]</w:t>
        <w:br/>
        <w:t>KONU: TBK m.296 birinci fıkra 3. bent uyarınca sonradan doğan yeni aile yükümlülüğü nedeniyle belirli bağışlama sözünün ifa edilmemiş edim bakımından geri alınması ve ifadan kaçınmadır.</w:t>
      </w:r>
    </w:p>
    <w:p>
      <w:r>
        <w:rPr>
          <w:color w:val="000000"/>
        </w:rPr>
        <w:t>1. [Gerçek sözleşme tarihi / referansı] kapsamında tarafınıza [gerçek tutar, para birimi ve edim] bağışlama sözünde bulunulmuştur. Sözün geçerli kapsamı ve mevcut ifa kayıtları eklerde gösterilmiştir. Bildirim konusu henüz yerine getirilmemiş bölüm [gerçek bakiye ve kapsam]dır.</w:t>
      </w:r>
    </w:p>
    <w:p>
      <w:r>
        <w:rPr>
          <w:color w:val="000000"/>
        </w:rPr>
        <w:t>2. Söz verildikten sonra [gerçek tarih] tarihinde benim için [belirli yeni aile yükümlülüğü] doğmuştur. Yükümlülüğün kaynağı, kapsamı ve söz tarihinden sonra doğduğunu gösteren gerçek kayıtlar [belge ve açıklama] şeklindedir. Mevcut eski yükümlülük yeni doğmuş gibi sunulmamıştır.</w:t>
      </w:r>
    </w:p>
    <w:p>
      <w:r>
        <w:rPr>
          <w:color w:val="000000"/>
        </w:rPr>
        <w:t>3. Bu geri alma sebebini öğrenme tarihi [gerçek tarih ve kaynak]dır. İlgili tarih kayıtları ve henüz ifa edilmemiş edim çizelgesi eklenmiştir.</w:t>
      </w:r>
    </w:p>
    <w:p>
      <w:r>
        <w:rPr>
          <w:color w:val="000000"/>
        </w:rPr>
        <w:t>BİLDİRİM: TBK m.296 birinci fıkrasının 3. bendi uyarınca yukarıda belirtilen yeni aile yükümlülüğü sebebiyle, belirli bağışlama sözünü gösterilen ifa edilmemiş edim bakımından geri aldığımı ve bu edimin ifasından kaçındığımı bildiriyorum. Bu metin, gerçekten ifa edilmiş farklı bir bölümün otomatik iade talebi olarak ileri sürülmemektedir.</w:t>
      </w:r>
    </w:p>
    <w:p>
      <w:r>
        <w:rPr>
          <w:b/>
          <w:color w:val="000000"/>
        </w:rPr>
        <w:t>EKLER:</w:t>
      </w:r>
      <w:r>
        <w:rPr>
          <w:color w:val="000000"/>
        </w:rPr>
        <w:t xml:space="preserve"> [Bağışlama sözleşmesi]; [gerçek ifa ve bakiye kayıtları]; [yeni aile yükümlülüğünün ilgili gerçek belgeleri]; [tarih ve edim çizelgesi]. Mevcut olmayan ekler çıkarılır.</w:t>
      </w:r>
    </w:p>
    <w:p>
      <w:r>
        <w:rPr>
          <w:color w:val="000000"/>
        </w:rPr>
        <w:t>Tarih: [Gerçek gönderim tarihi]</w:t>
        <w:br/>
        <w:t>Bildirimde Bulunan</w:t>
        <w:br/>
        <w:t>[Adı ve soyadı]</w:t>
        <w:br/>
        <w:t>İmza: [Gerçek imza]</w:t>
      </w:r>
    </w:p>
    <w:p>
      <w:r>
        <w:rPr>
          <w:color w:val="000000"/>
        </w:rPr>
        <w:br w:type="page"/>
      </w:r>
    </w:p>
    <w:p>
      <w:pPr>
        <w:pStyle w:val="Heading1"/>
      </w:pPr>
      <w:r>
        <w:rPr>
          <w:color w:val="000000"/>
        </w:rPr>
        <w:t>Dosyaya uyarlama rehberi</w:t>
      </w:r>
    </w:p>
    <w:p>
      <w:r>
        <w:rPr>
          <w:color w:val="000000"/>
        </w:rPr>
        <w:t>Bu sayfa çalışma notudur. Muhataba sunulacak dilekçeden çıkarın. Köşeli parantezli alanları gerçek belge ve kayıtlarla doldurun; gerçekleşmemiş bir olayı veya teslimi yazmayın.</w:t>
      </w:r>
    </w:p>
    <w:p>
      <w:pPr>
        <w:pStyle w:val="Heading2"/>
      </w:pPr>
      <w:r>
        <w:rPr>
          <w:color w:val="000000"/>
        </w:rPr>
        <w:t>Aşama</w:t>
      </w:r>
    </w:p>
    <w:p>
      <w:r>
        <w:rPr>
          <w:color w:val="000000"/>
        </w:rPr>
        <w:t>Kabul edilmiş, geçerli sözün ifa edilmemiş edimi içindir. Kabul öncesi öneri ve tamamlanmış bağışla karıştırmayın.</w:t>
      </w:r>
    </w:p>
    <w:p>
      <w:pPr>
        <w:pStyle w:val="Heading2"/>
      </w:pPr>
      <w:r>
        <w:rPr>
          <w:color w:val="000000"/>
        </w:rPr>
        <w:t>Sebep</w:t>
      </w:r>
    </w:p>
    <w:p>
      <w:r>
        <w:rPr>
          <w:color w:val="000000"/>
        </w:rPr>
        <w:t>296 birinci fıkra 3. bent sonradan doğan yeni aile yükümlülüğünü veya mevcut yükün önemli ölçüde ağırlaşmasını ayrı düzenler.</w:t>
      </w:r>
    </w:p>
    <w:p>
      <w:pPr>
        <w:pStyle w:val="Heading2"/>
      </w:pPr>
      <w:r>
        <w:rPr>
          <w:color w:val="000000"/>
        </w:rPr>
        <w:t>Gerçek kayıt</w:t>
      </w:r>
    </w:p>
    <w:p>
      <w:r>
        <w:rPr>
          <w:color w:val="000000"/>
        </w:rPr>
        <w:t>Yeni yükün kaynağını, başlangıcını ve bağışlayan bakımından kapsamını belgeleyin. Eski yükü yeni doğmuş yazmayın.</w:t>
      </w:r>
    </w:p>
    <w:p>
      <w:pPr>
        <w:pStyle w:val="Heading2"/>
      </w:pPr>
      <w:r>
        <w:rPr>
          <w:color w:val="000000"/>
        </w:rPr>
        <w:t>İfa</w:t>
      </w:r>
    </w:p>
    <w:p>
      <w:r>
        <w:rPr>
          <w:color w:val="000000"/>
        </w:rPr>
        <w:t>Gerçek ödeme ve teslimleri ayırıp henüz ifa edilmemiş bölümü gösterin. Form verilmiş paranın otomatik iade talebi değildir.</w:t>
      </w:r>
    </w:p>
    <w:p>
      <w:pPr>
        <w:pStyle w:val="Heading2"/>
      </w:pPr>
      <w:r>
        <w:rPr>
          <w:color w:val="000000"/>
        </w:rPr>
        <w:t>Süre</w:t>
      </w:r>
    </w:p>
    <w:p>
      <w:r>
        <w:rPr>
          <w:color w:val="000000"/>
        </w:rPr>
        <w:t>297 uyarınca sebebin gerçek öğrenme günü ve bir yıllık süre ayrıca kontrol edilir. Örnek tarihi süre incelemesi değildir.</w:t>
      </w:r>
    </w:p>
    <w:p>
      <w:pPr>
        <w:pStyle w:val="Heading2"/>
      </w:pPr>
      <w:r>
        <w:rPr>
          <w:color w:val="000000"/>
        </w:rPr>
        <w:t>Gönderim</w:t>
      </w:r>
    </w:p>
    <w:p>
      <w:r>
        <w:rPr>
          <w:color w:val="000000"/>
        </w:rPr>
        <w:t>Doğrudan bağışlanana bildirimdir; mahkeme veya icra dosyasındaki başvuru yerine geçmez. Gerçek metin ve teslim kayıtlarını saklayın.</w:t>
      </w:r>
    </w:p>
    <w:p>
      <w:pPr>
        <w:pStyle w:val="Heading2"/>
      </w:pPr>
      <w:r>
        <w:rPr>
          <w:color w:val="000000"/>
        </w:rPr>
        <w:t>Tarih ve imza</w:t>
      </w:r>
    </w:p>
    <w:p>
      <w:r>
        <w:rPr>
          <w:color w:val="000000"/>
        </w:rPr>
        <w:t>Gerçek gönderim günü ve yetkili kişinin gerçek imzası kullanılır. Güvenli elektronik imza fiilen uygulanmadan e-imzalıdır yazılmaz. Hazırlık rehberi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rPr>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rPr>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rPr>
      <w:color w:val="000000"/>
    </w:rPr>
  </w:style>
  <w:style w:type="table" w:default="1" w:styleId="TableNormal">
    <w:name w:val="Normal Table"/>
    <w:uiPriority w:val="99"/>
    <w:semiHidden/>
    <w:unhideWhenUsed/>
    <w:rPr>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rPr>
      <w:color w:val="000000"/>
    </w:rPr>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rPr>
      <w:color w:val="000000"/>
    </w:rPr>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color w:val="000000"/>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color w:val="000000"/>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color w:val="000000"/>
    </w:rPr>
  </w:style>
  <w:style w:type="character" w:styleId="Emphasis">
    <w:name w:val="Emphasis"/>
    <w:basedOn w:val="DefaultParagraphFont"/>
    <w:uiPriority w:val="20"/>
    <w:qFormat/>
    <w:rsid w:val="00FC693F"/>
    <w:rPr>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color w:val="000000"/>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rPr>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