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[YETKİLİ YER] NÖBETÇİ AİLE MAHKEMESİNE</w:t>
        <w:br/>
        <w:t>[Aile mahkemesi bulunmayan yerde: Aile mahkemesi sıfatıyla Nöbetçi Asliye Hukuk Mahkemesine]</w:t>
      </w:r>
    </w:p>
    <w:p>
      <w:r>
        <w:t>DAVACI: [Ad soyad, T.C. kimlik no, adres]</w:t>
        <w:br/>
        <w:t>DAVALI: [Ad soyad, adres]</w:t>
        <w:br/>
        <w:t>VEKİLİ: [Vekil varsa avukatın adı ve adresi; yoksa bu satırı siliniz]</w:t>
        <w:br/>
        <w:t>DAVA DEĞERİ: [Aşağıdaki ziynetlerin dava tarihindeki toplam değeri: … TL]</w:t>
        <w:br/>
        <w:t>KONU: Davacıya ait aşağıda belirtilen ziynet eşyalarının aynen iadesi istemidir.</w:t>
      </w:r>
    </w:p>
    <w:p>
      <w:pPr>
        <w:keepNext/>
      </w:pPr>
      <w:r>
        <w:rPr>
          <w:b/>
        </w:rPr>
        <w:t>AÇIKLAMALAR</w:t>
      </w:r>
    </w:p>
    <w:p>
      <w:r>
        <w:t>1. Taraflar [tarih] tarihinde evlenmiştir. Düğün/takı merasimi [tarih ve yer] tarihinde yapılmıştır. [Varsa boşanma davasının mahkemesi, esas numarası ve kesinleşme bilgisi.] Bu dava ile istenen ziynetler şunlardır:</w:t>
      </w:r>
    </w:p>
    <w:p>
      <w:r>
        <w:t>[1. Ziynetin cinsi/modeli, adet, ayar, tekil ve toplam gram, ayırt edici özellik, dava tarihindeki değer]</w:t>
        <w:br/>
        <w:t>[2. Ziynetin cinsi/modeli, adet, ayar, tekil ve toplam gram, ayırt edici özellik, dava tarihindeki değer]</w:t>
      </w:r>
    </w:p>
    <w:p>
      <w:r>
        <w:t>2. Her bir ziynetin davacıya aidiyeti şu olgulara dayanmaktadır: [Ziynet bazında kime takıldığı/verildiği; aidiyete ilişkin anlaşma varsa içeriği ve delili; yerel örf ve âdete dayanılıyorsa bu iddia ve delili; kişiye özgü kullanım niteliği.] [Fotoğraf/video zaman kodu, takı listesi, belge ve doğrudan bilgisi bulunan tanıkla bağlantı.] Ortak takı kutusuna konulan veya karşı tarafa takılan değerler için davacının hak iddiasının ayrıca gerekçesi: [Açıklama; böyle bir talep yoksa siliniz.]</w:t>
      </w:r>
    </w:p>
    <w:p>
      <w:r>
        <w:t>3. Davacıya ait ziynetler [tarih] tarihinde [kim tarafından, nereden, hangi amaçla ve nasıl] alınmıştır. Davalıda kaldığını veya davalı tarafından bozdurulduğunu gösteren olaylar: [Somut olay ve delil.] Davacının bu ziynetleri yanında götürmediğini ve halen kendisinde bulunmadığını gösteren olgular: [Somut açıklama ve delil.]</w:t>
      </w:r>
    </w:p>
    <w:p>
      <w:r>
        <w:t>4. Davacı ziynetleri davalıya bağışlamamış ve geri istememek üzere vermemiştir. [Varsa geri verme sözü, yazışma, davalının kabulü veya iade istemi: tarih, içerik ve belge.] [Bu beyanı yalnızca gerçek olaya uygunsa kullanınız.]</w:t>
      </w:r>
    </w:p>
    <w:p>
      <w:r>
        <w:t>5. Ziynetlerin cins, adet, ayar ve ağırlığının sunulan delillerle tespiti; teknik uyuşmazlıkların kuyumcu bilirkişisi tarafından incelenmesi gerekmektedir. Dava değeri [değerleme tarihi ve belge] esas alınarak gösterilmiştir. Bu dilekçedeki talep aynen iadeye yöneliktir.</w:t>
      </w:r>
    </w:p>
    <w:p>
      <w:pPr>
        <w:keepNext/>
      </w:pPr>
      <w:r>
        <w:rPr>
          <w:b/>
        </w:rPr>
        <w:t>DELİLLER VE EKLER</w:t>
      </w:r>
    </w:p>
    <w:p>
      <w:r>
        <w:t>1. [Fotoğraflar ve video kaydı; ilgili görüntünün zaman kodu ve ispatlanan ziynet.]</w:t>
        <w:br/>
        <w:t>2. [Kuyumcu/fatura/değerleme belgesi; belge tarihi ve ilişkin olduğu ziynet.]</w:t>
        <w:br/>
        <w:t>3. [Hukuka uygun elde edilmiş yazışma, banka/bozdurma kaydı; işlem tarihi.]</w:t>
        <w:br/>
        <w:t>4. [Tanıkların ad, soyad ve tebligat adresleri; her birinin doğrudan bildiği olay.]</w:t>
        <w:br/>
        <w:t>5. [Varsa iade ihtarı, teslim/tebliğ belgesi ve ilgili mahkeme dosyası.]</w:t>
        <w:br/>
        <w:t>6. Bilirkişi incelemesi ve ilgili kayıtların getirtilmesi. [İstenen kayıt, kurum ve tarih aralığı açıkça belirtilmelidir.]</w:t>
      </w:r>
    </w:p>
    <w:p>
      <w:r>
        <w:t>HUKUKİ NEDENLER: TMK m.220 ve 222; 4787 sayılı Kanun m.4; HMK m.6, 26, 119, 190 ve ilgili hükümler.</w:t>
      </w:r>
    </w:p>
    <w:p>
      <w:pPr>
        <w:keepNext/>
      </w:pPr>
      <w:r>
        <w:rPr>
          <w:b/>
        </w:rPr>
        <w:t>SONUÇ VE İSTEM</w:t>
      </w:r>
    </w:p>
    <w:p>
      <w:r>
        <w:t>Yukarıda açıkladığım nedenlerle;</w:t>
        <w:br/>
        <w:t>1. Dilekçenin 1. maddesinde cins, adet, ayar ve ağırlıkları ayrı ayrı gösterilen davacıya ait ziynet eşyalarının davalıdan alınarak davacıya aynen iadesine,</w:t>
        <w:br/>
        <w:t>2. Yargılama giderlerinin davalıya yükletilmesine; vekille takip halinde davacı lehine vekâlet ücretine hükmedilmesine,</w:t>
        <w:br/>
        <w:t>karar verilmesini talep ederim.</w:t>
      </w:r>
    </w:p>
    <w:p>
      <w:pPr>
        <w:keepLines/>
      </w:pPr>
      <w:r>
        <w:t>[Tarih]</w:t>
        <w:br/>
        <w:t>Davacı / Davacı vekili</w:t>
        <w:br/>
        <w:t>[Ad soyad ve imza]</w:t>
      </w:r>
    </w:p>
    <w:p>
      <w:pPr>
        <w:pageBreakBefore/>
      </w:pPr>
      <w:r>
        <w:rPr>
          <w:b/>
          <w:sz w:val="26"/>
        </w:rPr>
        <w:t>HAZIRLIK NOTLARI — DİLEKÇEYE EKLENMEZ</w:t>
      </w:r>
    </w:p>
    <w:p>
      <w:r>
        <w:rPr>
          <w:b/>
        </w:rPr>
        <w:t xml:space="preserve">Talep seçimi: </w:t>
      </w:r>
      <w:r>
        <w:t>Bu örnek yalnızca aynen iade ister. Doğrudan veya alternatif bedel talebinde sonuç bölümü, değerleme tarihi, dava değeri ve varsa faiz talebi birlikte yeniden düzenlenir. Belirsiz veya kısmi dava koşulları ayrıca değerlendirilir.</w:t>
      </w:r>
    </w:p>
    <w:p>
      <w:r>
        <w:rPr>
          <w:b/>
        </w:rPr>
        <w:t xml:space="preserve">Takı cetveli: </w:t>
      </w:r>
      <w:r>
        <w:t>Her ziynet için: cins/model; adet; ayar; tekil ve toplam gram; kime verildiği; aidiyet dayanağı; fotoğraf/video zaman kodu; davalıda kalma veya bozdurulma delili; dava tarihindeki değer. Bilinmeyen ölçüyü kesin gerçek olarak yazmayın.</w:t>
      </w:r>
    </w:p>
    <w:p>
      <w:r>
        <w:rPr>
          <w:b/>
        </w:rPr>
        <w:t xml:space="preserve">Aidiyet: </w:t>
      </w:r>
      <w:r>
        <w:t>Önce anlaşma, sonra ileri sürülüp ispatlanan yerel örf ve âdet; bunlar yoksa kime verildiği ve kişiye özgü kullanım niteliği incelenir. Ortak kutudaki değerler ayrıca değerlendirilir.</w:t>
      </w:r>
    </w:p>
    <w:p>
      <w:r>
        <w:rPr>
          <w:b/>
        </w:rPr>
        <w:t xml:space="preserve">Ekler ve imza: </w:t>
      </w:r>
      <w:r>
        <w:t>Köşeli parantezleri ve kullanılmayan satırları temizleyin. Gerçekte sunulmayan belgeyi ekli göstermeyin. Vekil yoksa vekil satırını silin, kendi adınızla imzalayın. Hazırlık sayfasını mahkemeye verilecek dosyadan çıkarın.</w:t>
      </w:r>
    </w:p>
    <w:p>
      <w:r>
        <w:rPr>
          <w:b/>
        </w:rPr>
        <w:t xml:space="preserve">Süre: </w:t>
      </w:r>
      <w:r>
        <w:t>Bedel alacağında TBK m.146, 149 ve 153 birlikte değerlendirilir. Evlilik devam ederken eşlerin birbirinden alacaklarında zamanaşımı başlamaz veya durur. Aynen iade talebi farklı değerlendirilir.</w:t>
      </w:r>
    </w:p>
    <w:p>
      <w:r>
        <w:t>Resmî kaynaklar — içerik düzenleme tarihi: 8 Ekim 2026</w:t>
      </w:r>
    </w:p>
    <w:p>
      <w:pPr>
        <w:keepLines/>
        <w:spacing w:after="100"/>
      </w:pPr>
      <w:r>
        <w:t>TMK m.220 ve 222</w:t>
        <w:br/>
        <w:t>https://mevzuat.adalet.gov.tr/mevzuat/103249</w:t>
      </w:r>
    </w:p>
    <w:p>
      <w:pPr>
        <w:keepLines/>
        <w:spacing w:after="100"/>
      </w:pPr>
      <w:r>
        <w:t>HMK</w:t>
        <w:br/>
        <w:t>https://mevzuat.adalet.gov.tr/mevzuat/103103</w:t>
      </w:r>
    </w:p>
    <w:p>
      <w:pPr>
        <w:keepLines/>
        <w:spacing w:after="100"/>
      </w:pPr>
      <w:r>
        <w:t>TBK m.146, 149 ve 153</w:t>
        <w:br/>
        <w:t>https://mevzuat.adalet.gov.tr/mevzuat/103273</w:t>
      </w:r>
    </w:p>
    <w:p>
      <w:pPr>
        <w:keepLines/>
        <w:spacing w:after="100"/>
      </w:pPr>
      <w:r>
        <w:t>Yargıtay 2. HD 2024/5797 E., 2024/10388 K.</w:t>
        <w:br/>
        <w:t>https://mevzuat.adalet.gov.tr/ictihat/1120761500</w:t>
      </w:r>
    </w:p>
    <w:p>
      <w:pPr>
        <w:keepLines/>
        <w:spacing w:after="100"/>
      </w:pPr>
      <w:r>
        <w:t>Yargıtay 2. HD 2024/9259 E., 2025/1648 K.</w:t>
        <w:br/>
        <w:t>https://mevzuat.adalet.gov.tr/ictihat/1154396000</w:t>
      </w:r>
    </w:p>
    <w:p>
      <w:pPr>
        <w:keepLines/>
        <w:spacing w:after="100"/>
      </w:pPr>
      <w:r>
        <w:t>Yargıtay 2. HD 2025/8636 E., 2026/4113 K.</w:t>
        <w:br/>
        <w:t>https://mevzuat.adalet.gov.tr/ictihat/1216065400</w:t>
      </w:r>
    </w:p>
    <w:sectPr w:rsidR="00FC693F" w:rsidRPr="0006063C" w:rsidSect="00034616">
      <w:pgSz w:w="11906" w:h="16838"/>
      <w:pgMar w:top="1191" w:right="1304" w:bottom="119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Ziynet Eşyalarının Aynen İadesi Dava Dilekçesi</dc:title>
  <dc:subject>Düzenlenebilir örnek ve hazırlık notları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